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20D066" w14:textId="5D323509" w:rsidR="00F74385" w:rsidRPr="000479C4" w:rsidRDefault="00F74385" w:rsidP="00F74385">
      <w:r w:rsidRPr="00BC2F37">
        <w:rPr>
          <w:rStyle w:val="TitleChar"/>
          <w:rFonts w:eastAsia="Calibri"/>
        </w:rPr>
        <w:fldChar w:fldCharType="begin"/>
      </w:r>
      <w:r w:rsidRPr="00BC2F37">
        <w:rPr>
          <w:rStyle w:val="TitleChar"/>
          <w:rFonts w:eastAsia="Calibri"/>
        </w:rPr>
        <w:instrText xml:space="preserve"> TITLE   \* MERGEFORMAT </w:instrText>
      </w:r>
      <w:r w:rsidRPr="00BC2F37">
        <w:rPr>
          <w:rStyle w:val="TitleChar"/>
          <w:rFonts w:eastAsia="Calibri"/>
        </w:rPr>
        <w:fldChar w:fldCharType="separate"/>
      </w:r>
      <w:r w:rsidRPr="00BC2F37">
        <w:rPr>
          <w:rStyle w:val="TitleChar"/>
          <w:rFonts w:eastAsia="Calibri"/>
        </w:rPr>
        <w:t xml:space="preserve">Analysis of the Potential Health </w:t>
      </w:r>
      <w:r w:rsidR="005D21A8">
        <w:rPr>
          <w:rStyle w:val="TitleChar"/>
          <w:rFonts w:eastAsia="Calibri"/>
        </w:rPr>
        <w:t>Benefits</w:t>
      </w:r>
      <w:r w:rsidR="005D21A8" w:rsidRPr="00BC2F37">
        <w:rPr>
          <w:rStyle w:val="TitleChar"/>
          <w:rFonts w:eastAsia="Calibri"/>
        </w:rPr>
        <w:t xml:space="preserve"> </w:t>
      </w:r>
      <w:r w:rsidRPr="00BC2F37">
        <w:rPr>
          <w:rStyle w:val="TitleChar"/>
          <w:rFonts w:eastAsia="Calibri"/>
        </w:rPr>
        <w:t xml:space="preserve">of </w:t>
      </w:r>
      <w:r>
        <w:rPr>
          <w:rStyle w:val="TitleChar"/>
          <w:rFonts w:eastAsia="Calibri"/>
        </w:rPr>
        <w:t>Reducing Ozone Levels</w:t>
      </w:r>
      <w:r w:rsidRPr="00BC2F37">
        <w:rPr>
          <w:rStyle w:val="TitleChar"/>
          <w:rFonts w:eastAsia="Calibri"/>
        </w:rPr>
        <w:t xml:space="preserve"> in the OTR Using BenMAP</w:t>
      </w:r>
      <w:r w:rsidRPr="00BC2F37">
        <w:rPr>
          <w:rStyle w:val="TitleChar"/>
          <w:rFonts w:eastAsia="Calibri"/>
        </w:rPr>
        <w:fldChar w:fldCharType="end"/>
      </w:r>
    </w:p>
    <w:p w14:paraId="462C31F6" w14:textId="77777777" w:rsidR="00741738" w:rsidRPr="00603B79" w:rsidRDefault="00741738" w:rsidP="00603B79">
      <w:pPr>
        <w:pStyle w:val="Subtitle"/>
        <w:rPr>
          <w:rStyle w:val="SubtitleChar"/>
        </w:rPr>
      </w:pPr>
      <w:r w:rsidRPr="00741738">
        <w:rPr>
          <w:rStyle w:val="SubtitleChar"/>
        </w:rPr>
        <w:t>September 5</w:t>
      </w:r>
      <w:r w:rsidRPr="000750FE">
        <w:rPr>
          <w:rStyle w:val="SubtitleChar"/>
        </w:rPr>
        <w:t>, 2017</w:t>
      </w:r>
      <w:r w:rsidRPr="00603B79">
        <w:rPr>
          <w:rStyle w:val="SubtitleChar"/>
        </w:rPr>
        <w:br/>
        <w:t xml:space="preserve">Prepared by </w:t>
      </w:r>
      <w:r w:rsidRPr="00603B79">
        <w:rPr>
          <w:rStyle w:val="SubtitleChar"/>
        </w:rPr>
        <w:fldChar w:fldCharType="begin"/>
      </w:r>
      <w:r w:rsidRPr="00603B79">
        <w:rPr>
          <w:rStyle w:val="SubtitleChar"/>
        </w:rPr>
        <w:instrText xml:space="preserve"> AUTHOR   \* MERGEFORMAT </w:instrText>
      </w:r>
      <w:r w:rsidRPr="00603B79">
        <w:rPr>
          <w:rStyle w:val="SubtitleChar"/>
        </w:rPr>
        <w:fldChar w:fldCharType="separate"/>
      </w:r>
      <w:r w:rsidRPr="00603B79">
        <w:rPr>
          <w:rStyle w:val="SubtitleChar"/>
        </w:rPr>
        <w:t>Ozone Transport Commission</w:t>
      </w:r>
      <w:r w:rsidRPr="00603B79">
        <w:rPr>
          <w:rStyle w:val="SubtitleChar"/>
        </w:rPr>
        <w:fldChar w:fldCharType="end"/>
      </w:r>
    </w:p>
    <w:p w14:paraId="4AB0D613" w14:textId="28858CD3" w:rsidR="00907499" w:rsidRPr="001A4C39" w:rsidRDefault="00907499" w:rsidP="00880057">
      <w:pPr>
        <w:pStyle w:val="Heading1"/>
      </w:pPr>
      <w:r w:rsidRPr="001A4C39">
        <w:t>Introduction</w:t>
      </w:r>
    </w:p>
    <w:p w14:paraId="362B3437" w14:textId="51E9EE5D" w:rsidR="00F74385" w:rsidRDefault="00907499" w:rsidP="00F74385">
      <w:r w:rsidRPr="001C2012">
        <w:t>In 20</w:t>
      </w:r>
      <w:r w:rsidR="00710D48" w:rsidRPr="001C2012">
        <w:t>15</w:t>
      </w:r>
      <w:r w:rsidRPr="001C2012">
        <w:t xml:space="preserve">, the 8-hour ozone </w:t>
      </w:r>
      <w:r w:rsidR="00710D48" w:rsidRPr="001C2012">
        <w:t>N</w:t>
      </w:r>
      <w:r w:rsidRPr="001C2012">
        <w:t xml:space="preserve">ational </w:t>
      </w:r>
      <w:r w:rsidR="00710D48" w:rsidRPr="001C2012">
        <w:t>A</w:t>
      </w:r>
      <w:r w:rsidRPr="001C2012">
        <w:t xml:space="preserve">mbient </w:t>
      </w:r>
      <w:r w:rsidR="00710D48" w:rsidRPr="001C2012">
        <w:t>A</w:t>
      </w:r>
      <w:r w:rsidRPr="001C2012">
        <w:t xml:space="preserve">ir </w:t>
      </w:r>
      <w:r w:rsidR="00710D48" w:rsidRPr="001C2012">
        <w:t>Q</w:t>
      </w:r>
      <w:r w:rsidRPr="001C2012">
        <w:t xml:space="preserve">uality </w:t>
      </w:r>
      <w:r w:rsidR="00710D48" w:rsidRPr="001C2012">
        <w:t>S</w:t>
      </w:r>
      <w:r w:rsidRPr="001C2012">
        <w:t>tandard (</w:t>
      </w:r>
      <w:r w:rsidR="003E285D" w:rsidRPr="001C2012">
        <w:t>NAAQS) was lowered to 7</w:t>
      </w:r>
      <w:r w:rsidR="00710D48" w:rsidRPr="001C2012">
        <w:t>0</w:t>
      </w:r>
      <w:r w:rsidR="003E285D" w:rsidRPr="001C2012">
        <w:t xml:space="preserve"> ppb.</w:t>
      </w:r>
      <w:r w:rsidR="00710D48" w:rsidRPr="0097041F">
        <w:rPr>
          <w:rStyle w:val="FootnoteReference"/>
        </w:rPr>
        <w:footnoteReference w:id="1"/>
      </w:r>
      <w:r w:rsidR="003E285D" w:rsidRPr="0097041F">
        <w:rPr>
          <w:vertAlign w:val="superscript"/>
        </w:rPr>
        <w:t xml:space="preserve"> </w:t>
      </w:r>
      <w:r w:rsidR="003E285D" w:rsidRPr="001C2012">
        <w:t xml:space="preserve"> </w:t>
      </w:r>
      <w:r w:rsidR="00710D48" w:rsidRPr="001C2012">
        <w:t>This was the high end of the range recommended by the Clean Air Scientific Advisory Committee (CASAC)</w:t>
      </w:r>
      <w:r w:rsidR="001A4C39" w:rsidRPr="001C2012">
        <w:t xml:space="preserve"> originally and </w:t>
      </w:r>
      <w:r w:rsidR="00F74385" w:rsidRPr="001C2012">
        <w:t>in the rule proposal</w:t>
      </w:r>
      <w:r w:rsidR="00F74385" w:rsidRPr="00576F90">
        <w:t xml:space="preserve"> </w:t>
      </w:r>
      <w:r w:rsidR="00F74385">
        <w:t xml:space="preserve">by </w:t>
      </w:r>
      <w:r w:rsidR="00F74385" w:rsidRPr="001C2012">
        <w:t xml:space="preserve">Administrator McCarthy.  </w:t>
      </w:r>
      <w:r w:rsidR="00F74385">
        <w:t>The lower end of the range proposed by EPA was 65 ppb.  Additionally, recent research has shown health effects from ozone occur at even lower levels.</w:t>
      </w:r>
      <w:r w:rsidR="000D796B">
        <w:rPr>
          <w:rStyle w:val="FootnoteReference"/>
        </w:rPr>
        <w:footnoteReference w:id="2"/>
      </w:r>
      <w:r w:rsidR="00F74385">
        <w:t xml:space="preserve">  As a result three levels of ozone were investigated in this analysis: 70 ppb, 65 ppb, and 40 ppb.</w:t>
      </w:r>
    </w:p>
    <w:p w14:paraId="1FAC2B61" w14:textId="77777777" w:rsidR="00907499" w:rsidRPr="001C2012" w:rsidRDefault="003E285D" w:rsidP="001C2012">
      <w:r w:rsidRPr="001C2012">
        <w:t xml:space="preserve">Each year that air quality does not meet the NAAQS </w:t>
      </w:r>
      <w:r w:rsidR="00890759" w:rsidRPr="001C2012">
        <w:t>the health of the populations exposed to the poor air quality are impacted</w:t>
      </w:r>
      <w:r w:rsidR="00907499" w:rsidRPr="001C2012">
        <w:t>.  As a result the analysis will focus on</w:t>
      </w:r>
      <w:r w:rsidR="00890759" w:rsidRPr="001C2012">
        <w:t xml:space="preserve"> each </w:t>
      </w:r>
      <w:r w:rsidR="00907499" w:rsidRPr="001C2012">
        <w:t>ozone season</w:t>
      </w:r>
      <w:r w:rsidR="00890759" w:rsidRPr="001C2012">
        <w:t xml:space="preserve"> for which data is available, </w:t>
      </w:r>
      <w:r w:rsidR="001A4C39" w:rsidRPr="001C2012">
        <w:t>2013-2016</w:t>
      </w:r>
      <w:r w:rsidR="00907499" w:rsidRPr="001C2012">
        <w:t xml:space="preserve">.    </w:t>
      </w:r>
    </w:p>
    <w:p w14:paraId="2B08FC3C" w14:textId="2A63B40A" w:rsidR="00907499" w:rsidRPr="000479C4" w:rsidRDefault="00907499" w:rsidP="001C2012">
      <w:r w:rsidRPr="000479C4">
        <w:t>Several states in the Ozone Transport Region (OTR) ha</w:t>
      </w:r>
      <w:r>
        <w:t>d</w:t>
      </w:r>
      <w:r w:rsidRPr="000479C4">
        <w:t xml:space="preserve"> monitored design values that </w:t>
      </w:r>
      <w:r>
        <w:t>we</w:t>
      </w:r>
      <w:r w:rsidRPr="000479C4">
        <w:t xml:space="preserve">re above the standard set by EPA.  Given that the primary NAAQS are set to a level to adequately protect the public health, this implies that populations in the OTR would receive a health benefit if the entire OTR were to meet the NAAQS.  This paper looks at the benefits that would have occurred </w:t>
      </w:r>
      <w:r w:rsidR="00890759">
        <w:t xml:space="preserve">each year from </w:t>
      </w:r>
      <w:r w:rsidR="001A4C39">
        <w:t>2013-2016</w:t>
      </w:r>
      <w:r w:rsidRPr="000479C4">
        <w:t xml:space="preserve"> had the entire OTR met the </w:t>
      </w:r>
      <w:r w:rsidR="001A4C39">
        <w:t>2015 NAAQS</w:t>
      </w:r>
      <w:r w:rsidRPr="000479C4">
        <w:t xml:space="preserve"> as estimated </w:t>
      </w:r>
      <w:r w:rsidR="00F74385">
        <w:t xml:space="preserve">by </w:t>
      </w:r>
      <w:r w:rsidRPr="000479C4">
        <w:t xml:space="preserve">the Environmental Benefits Mapping and Analysis Program (BenMAP) </w:t>
      </w:r>
      <w:r w:rsidR="001A4C39">
        <w:t xml:space="preserve">Community Edition (CE) </w:t>
      </w:r>
      <w:r w:rsidRPr="000479C4">
        <w:t>program.</w:t>
      </w:r>
      <w:r w:rsidR="00103B8E">
        <w:rPr>
          <w:rStyle w:val="FootnoteReference"/>
        </w:rPr>
        <w:footnoteReference w:id="3"/>
      </w:r>
    </w:p>
    <w:p w14:paraId="12C15507" w14:textId="77777777" w:rsidR="00907499" w:rsidRPr="000479C4" w:rsidRDefault="00907499" w:rsidP="001C2012">
      <w:pPr>
        <w:pStyle w:val="Heading1"/>
      </w:pPr>
      <w:r w:rsidRPr="000479C4">
        <w:t xml:space="preserve">Methods </w:t>
      </w:r>
    </w:p>
    <w:p w14:paraId="1DE7AF1C" w14:textId="77777777" w:rsidR="00907499" w:rsidRPr="001A4C39" w:rsidRDefault="00907499" w:rsidP="001C2012">
      <w:pPr>
        <w:pStyle w:val="Heading2"/>
      </w:pPr>
      <w:r w:rsidRPr="001A4C39">
        <w:t>Overview of the Health Impact Functions</w:t>
      </w:r>
    </w:p>
    <w:p w14:paraId="5C35762C" w14:textId="0CAF784E" w:rsidR="00907499" w:rsidRPr="000479C4" w:rsidRDefault="00907499" w:rsidP="001C2012">
      <w:r w:rsidRPr="000479C4">
        <w:t xml:space="preserve">BenMAP </w:t>
      </w:r>
      <w:r w:rsidR="00291836">
        <w:t>CE v</w:t>
      </w:r>
      <w:r w:rsidR="00291836" w:rsidRPr="00291836">
        <w:t>1.3.52</w:t>
      </w:r>
      <w:r w:rsidR="00166871">
        <w:t xml:space="preserve"> </w:t>
      </w:r>
      <w:r w:rsidR="00CC1254" w:rsidRPr="000479C4">
        <w:t xml:space="preserve">was </w:t>
      </w:r>
      <w:r w:rsidR="00CC1254">
        <w:t>employ</w:t>
      </w:r>
      <w:r w:rsidR="00CC1254" w:rsidRPr="000479C4">
        <w:t>ed to process the health impact functions.</w:t>
      </w:r>
      <w:r w:rsidR="00CC1254">
        <w:t xml:space="preserve">  These functions are developed to calculate the change in health incidence for a given population due to a change in air quality.</w:t>
      </w:r>
      <w:r w:rsidR="00CC1254" w:rsidRPr="000479C4">
        <w:t xml:space="preserve">  The health impact functions</w:t>
      </w:r>
      <w:r w:rsidR="00CC1254">
        <w:t xml:space="preserve"> typically</w:t>
      </w:r>
      <w:r w:rsidR="00CC1254" w:rsidRPr="000479C4">
        <w:t xml:space="preserve"> consist of four variables: change in air quality, population, baseline incidence rate, and effect estimate</w:t>
      </w:r>
      <w:r w:rsidR="00CC1254">
        <w:t>s that are</w:t>
      </w:r>
      <w:r w:rsidR="00CC1254" w:rsidRPr="000479C4">
        <w:t xml:space="preserve"> drawn from epidemiological literature.  The health impact functions used in the analysis were all functions provided in the downloadable version of BenMAP</w:t>
      </w:r>
      <w:r w:rsidR="00CC1254">
        <w:t xml:space="preserve"> CE</w:t>
      </w:r>
      <w:r w:rsidR="00CC1254" w:rsidRPr="000479C4">
        <w:t xml:space="preserve">.  The typical health impact function </w:t>
      </w:r>
      <w:r w:rsidR="00CC1254">
        <w:t>(</w:t>
      </w:r>
      <w:r w:rsidR="00CC1254" w:rsidRPr="000479C4">
        <w:t>Δ</w:t>
      </w:r>
      <w:r w:rsidR="00CC1254">
        <w:t xml:space="preserve">y) </w:t>
      </w:r>
      <w:r w:rsidR="00CC1254" w:rsidRPr="000479C4">
        <w:t>is log-linear as follows:</w:t>
      </w:r>
    </w:p>
    <w:p w14:paraId="0A036E3F" w14:textId="77777777" w:rsidR="00907499" w:rsidRPr="000479C4" w:rsidRDefault="00907499" w:rsidP="00907499">
      <w:pPr>
        <w:pStyle w:val="NoSpacing"/>
      </w:pPr>
      <w:r w:rsidRPr="000479C4">
        <w:tab/>
      </w:r>
      <w:r w:rsidRPr="000479C4">
        <w:tab/>
      </w:r>
      <w:r w:rsidRPr="000479C4">
        <w:tab/>
      </w:r>
      <w:r w:rsidRPr="000479C4">
        <w:tab/>
      </w:r>
      <w:r w:rsidRPr="000479C4">
        <w:tab/>
      </w:r>
    </w:p>
    <w:p w14:paraId="40A92ED1" w14:textId="77777777" w:rsidR="00907499" w:rsidRPr="000479C4" w:rsidRDefault="00907499" w:rsidP="00907499">
      <w:pPr>
        <w:pStyle w:val="NoSpacing"/>
      </w:pPr>
      <w:r w:rsidRPr="000479C4">
        <w:tab/>
      </w:r>
      <w:r w:rsidRPr="000479C4">
        <w:tab/>
      </w:r>
      <w:r w:rsidRPr="000479C4">
        <w:tab/>
      </w:r>
      <w:r w:rsidRPr="000479C4">
        <w:tab/>
      </w:r>
      <w:r w:rsidRPr="000479C4">
        <w:tab/>
        <w:t>Δy = y</w:t>
      </w:r>
      <w:r w:rsidRPr="000479C4">
        <w:rPr>
          <w:vertAlign w:val="subscript"/>
        </w:rPr>
        <w:t>0</w:t>
      </w:r>
      <w:r w:rsidRPr="000479C4">
        <w:t>(e</w:t>
      </w:r>
      <w:r w:rsidRPr="000479C4">
        <w:rPr>
          <w:vertAlign w:val="superscript"/>
        </w:rPr>
        <w:t>βΔq</w:t>
      </w:r>
      <w:r w:rsidRPr="000479C4">
        <w:t>-1)pop</w:t>
      </w:r>
    </w:p>
    <w:p w14:paraId="3575F027" w14:textId="77777777" w:rsidR="00907499" w:rsidRPr="000479C4" w:rsidRDefault="00907499" w:rsidP="00907499">
      <w:pPr>
        <w:pStyle w:val="NoSpacing"/>
      </w:pPr>
    </w:p>
    <w:p w14:paraId="088AD50C" w14:textId="77777777" w:rsidR="00907499" w:rsidRPr="000479C4" w:rsidRDefault="00907499" w:rsidP="001C2012">
      <w:r w:rsidRPr="000479C4">
        <w:t>where y</w:t>
      </w:r>
      <w:r w:rsidRPr="000479C4">
        <w:rPr>
          <w:vertAlign w:val="subscript"/>
        </w:rPr>
        <w:t>0</w:t>
      </w:r>
      <w:r w:rsidRPr="000479C4">
        <w:t xml:space="preserve"> is the baseline incidence rate, β is the effect estimate, Δq is the change in air quality, and pop is the population.</w:t>
      </w:r>
    </w:p>
    <w:p w14:paraId="511BEEC5" w14:textId="77777777" w:rsidR="00907499" w:rsidRPr="000479C4" w:rsidRDefault="00907499" w:rsidP="001C2012">
      <w:pPr>
        <w:pStyle w:val="Heading2"/>
      </w:pPr>
      <w:r w:rsidRPr="000479C4">
        <w:lastRenderedPageBreak/>
        <w:t xml:space="preserve">Change in Air Quality </w:t>
      </w:r>
    </w:p>
    <w:p w14:paraId="71E306B7" w14:textId="18508579" w:rsidR="00F74385" w:rsidRDefault="00907499" w:rsidP="00F74385">
      <w:r w:rsidRPr="000479C4">
        <w:t xml:space="preserve">Monitored ozone data were obtained throughout the entire OTR </w:t>
      </w:r>
      <w:r w:rsidR="00F749A1">
        <w:t xml:space="preserve">and the states that border the region (Ohio, West Virginia, and the remainder of Virginia) </w:t>
      </w:r>
      <w:r w:rsidRPr="000479C4">
        <w:t xml:space="preserve">for </w:t>
      </w:r>
      <w:r w:rsidR="001A4C39">
        <w:t>2013-2016</w:t>
      </w:r>
      <w:r w:rsidRPr="000479C4">
        <w:t xml:space="preserve"> from the Air Quality System </w:t>
      </w:r>
      <w:r w:rsidR="00F74385">
        <w:t xml:space="preserve">(AQS) </w:t>
      </w:r>
      <w:r w:rsidRPr="000479C4">
        <w:t>monitor network</w:t>
      </w:r>
      <w:r w:rsidR="00166871">
        <w:t xml:space="preserve"> and the data was originally compiled by staff at the Maine Department of Environmental Protection</w:t>
      </w:r>
      <w:r w:rsidRPr="000479C4">
        <w:t xml:space="preserve">.  </w:t>
      </w:r>
      <w:r w:rsidR="00F749A1">
        <w:t>The Voronoi</w:t>
      </w:r>
      <w:r w:rsidR="00905D12">
        <w:t xml:space="preserve"> Neighborhood </w:t>
      </w:r>
      <w:r w:rsidR="00F749A1">
        <w:t xml:space="preserve">Averaging </w:t>
      </w:r>
      <w:r w:rsidR="00905D12">
        <w:t xml:space="preserve">(VNA) inverse distance interpolation </w:t>
      </w:r>
      <w:r w:rsidR="00110D3D">
        <w:t xml:space="preserve">squared </w:t>
      </w:r>
      <w:r w:rsidR="00F749A1">
        <w:t xml:space="preserve">technique was used to interpolate to grid cells between monitors.  The bordering states were included so that the </w:t>
      </w:r>
      <w:r w:rsidR="00905D12">
        <w:t>VNA</w:t>
      </w:r>
      <w:r w:rsidR="00F749A1">
        <w:t xml:space="preserve"> would not result in inappropriate values along the western and southern borders of the OTR</w:t>
      </w:r>
      <w:r w:rsidRPr="000479C4">
        <w:t>.</w:t>
      </w:r>
      <w:r w:rsidR="00F749A1">
        <w:t xml:space="preserve">  </w:t>
      </w:r>
      <w:r w:rsidR="005D21A8">
        <w:t>Monitored ozone d</w:t>
      </w:r>
      <w:r w:rsidR="00F74385">
        <w:t>ata was not available from Canada</w:t>
      </w:r>
      <w:r w:rsidR="005D21A8">
        <w:t>, so VNA may create unexpected results along the northe</w:t>
      </w:r>
      <w:r w:rsidR="00F74385">
        <w:t>r</w:t>
      </w:r>
      <w:r w:rsidR="005D21A8">
        <w:t>n border</w:t>
      </w:r>
      <w:r w:rsidR="00F74385">
        <w:t>, but exceedances are less common in that region so the monitors would not be rolled back anyway.</w:t>
      </w:r>
      <w:r w:rsidR="005525A9">
        <w:t xml:space="preserve">  The national CMAQ grid was used ra</w:t>
      </w:r>
      <w:bookmarkStart w:id="0" w:name="_GoBack"/>
      <w:bookmarkEnd w:id="0"/>
      <w:r w:rsidR="005525A9">
        <w:t>ther than the grid clipped to the United States boundaries since using the latter resulting in data missing in many grid cel</w:t>
      </w:r>
      <w:r w:rsidR="008D65FC">
        <w:t>l</w:t>
      </w:r>
      <w:r w:rsidR="005525A9">
        <w:t xml:space="preserve">s in Maine. </w:t>
      </w:r>
      <w:r w:rsidR="00F74385" w:rsidRPr="000479C4">
        <w:t xml:space="preserve"> </w:t>
      </w:r>
      <w:r w:rsidR="00F74385">
        <w:t xml:space="preserve"> </w:t>
      </w:r>
    </w:p>
    <w:p w14:paraId="37A3EB5C" w14:textId="525EC24A" w:rsidR="00907499" w:rsidRPr="000479C4" w:rsidRDefault="00166871" w:rsidP="001C2012">
      <w:r>
        <w:t xml:space="preserve">Annual ozone season data was </w:t>
      </w:r>
      <w:r w:rsidR="00F749A1">
        <w:t>imported</w:t>
      </w:r>
      <w:r>
        <w:t xml:space="preserve">, but in many cases monitors only are operated during </w:t>
      </w:r>
      <w:r w:rsidR="00F34AA4">
        <w:t xml:space="preserve">a shorter time period when conditions are conducive to </w:t>
      </w:r>
      <w:r>
        <w:t xml:space="preserve">ozone </w:t>
      </w:r>
      <w:r w:rsidR="00F34AA4">
        <w:t>formation as defined in federal regulations (see</w:t>
      </w:r>
      <w:r>
        <w:t xml:space="preserve"> </w:t>
      </w:r>
      <w:r w:rsidR="00F34AA4">
        <w:fldChar w:fldCharType="begin"/>
      </w:r>
      <w:r w:rsidR="00F34AA4">
        <w:instrText xml:space="preserve"> REF _Ref485126431 \h </w:instrText>
      </w:r>
      <w:r w:rsidR="005F7AE7">
        <w:instrText xml:space="preserve"> \* MERGEFORMAT </w:instrText>
      </w:r>
      <w:r w:rsidR="00F34AA4">
        <w:fldChar w:fldCharType="separate"/>
      </w:r>
      <w:r w:rsidR="00F34AA4">
        <w:t xml:space="preserve">Table </w:t>
      </w:r>
      <w:r w:rsidR="00F34AA4">
        <w:rPr>
          <w:noProof/>
        </w:rPr>
        <w:t>1</w:t>
      </w:r>
      <w:r w:rsidR="00F34AA4">
        <w:fldChar w:fldCharType="end"/>
      </w:r>
      <w:r w:rsidR="00F34AA4">
        <w:t>)</w:t>
      </w:r>
      <w:r w:rsidR="00907499" w:rsidRPr="000479C4">
        <w:t xml:space="preserve">.  </w:t>
      </w:r>
      <w:r w:rsidR="00905D12">
        <w:t>Furthermore</w:t>
      </w:r>
      <w:r w:rsidR="00F749A1">
        <w:t xml:space="preserve">, BenMap requires </w:t>
      </w:r>
      <w:r w:rsidR="00E445FF">
        <w:t xml:space="preserve">that </w:t>
      </w:r>
      <w:r w:rsidR="00F749A1">
        <w:t xml:space="preserve">a certain </w:t>
      </w:r>
      <w:r w:rsidR="00905D12">
        <w:t xml:space="preserve">thresholds to be met for the data at a particular monitor to be considered </w:t>
      </w:r>
      <w:r w:rsidR="00F749A1">
        <w:t>acceptable.</w:t>
      </w:r>
      <w:r w:rsidR="00905D12">
        <w:t xml:space="preserve">  The default </w:t>
      </w:r>
      <w:r w:rsidR="00332A34">
        <w:t xml:space="preserve">time spans for data to be </w:t>
      </w:r>
      <w:r w:rsidR="00905D12">
        <w:t xml:space="preserve">considered </w:t>
      </w:r>
      <w:r w:rsidR="00332A34">
        <w:t xml:space="preserve">are </w:t>
      </w:r>
      <w:r w:rsidR="00905D12">
        <w:t>too stringent since several monitors with 4</w:t>
      </w:r>
      <w:r w:rsidR="00905D12" w:rsidRPr="00905D12">
        <w:rPr>
          <w:vertAlign w:val="superscript"/>
        </w:rPr>
        <w:t>th</w:t>
      </w:r>
      <w:r w:rsidR="00905D12">
        <w:t xml:space="preserve"> high 8-hour ozone values above 70 ppb would be excluded so the</w:t>
      </w:r>
      <w:r w:rsidR="00332A34">
        <w:t xml:space="preserve"> time span of April 1 – October 31 was used</w:t>
      </w:r>
      <w:r w:rsidR="00905D12">
        <w:t xml:space="preserve">. </w:t>
      </w:r>
      <w:r w:rsidR="00F749A1">
        <w:t xml:space="preserve">  </w:t>
      </w:r>
      <w:r w:rsidR="00D87FE8">
        <w:t>4</w:t>
      </w:r>
      <w:r w:rsidR="00D87FE8" w:rsidRPr="00D87FE8">
        <w:rPr>
          <w:vertAlign w:val="superscript"/>
        </w:rPr>
        <w:t>th</w:t>
      </w:r>
      <w:r w:rsidR="00D87FE8">
        <w:t xml:space="preserve"> high </w:t>
      </w:r>
      <w:r w:rsidR="009937EC">
        <w:t xml:space="preserve">8-hour </w:t>
      </w:r>
      <w:r w:rsidR="00D87FE8">
        <w:t xml:space="preserve">ozone data for each year </w:t>
      </w:r>
      <w:r w:rsidR="00E445FF">
        <w:t>seen in</w:t>
      </w:r>
      <w:r w:rsidR="008E6BFD">
        <w:t xml:space="preserve"> </w:t>
      </w:r>
      <w:r w:rsidR="001B23C9">
        <w:fldChar w:fldCharType="begin"/>
      </w:r>
      <w:r w:rsidR="001B23C9">
        <w:instrText xml:space="preserve"> REF _Ref492372893 \h </w:instrText>
      </w:r>
      <w:r w:rsidR="001B23C9">
        <w:fldChar w:fldCharType="separate"/>
      </w:r>
      <w:r w:rsidR="001B23C9">
        <w:t xml:space="preserve">Figure </w:t>
      </w:r>
      <w:r w:rsidR="001B23C9">
        <w:rPr>
          <w:noProof/>
        </w:rPr>
        <w:t>1</w:t>
      </w:r>
      <w:r w:rsidR="001B23C9">
        <w:fldChar w:fldCharType="end"/>
      </w:r>
      <w:r w:rsidR="001B23C9">
        <w:t xml:space="preserve"> though </w:t>
      </w:r>
      <w:r w:rsidR="001B23C9">
        <w:fldChar w:fldCharType="begin"/>
      </w:r>
      <w:r w:rsidR="001B23C9">
        <w:instrText xml:space="preserve"> REF _Ref492372894 \h </w:instrText>
      </w:r>
      <w:r w:rsidR="001B23C9">
        <w:fldChar w:fldCharType="separate"/>
      </w:r>
      <w:r w:rsidR="001B23C9">
        <w:t xml:space="preserve">Figure </w:t>
      </w:r>
      <w:r w:rsidR="001B23C9">
        <w:rPr>
          <w:noProof/>
        </w:rPr>
        <w:t>4</w:t>
      </w:r>
      <w:r w:rsidR="001B23C9">
        <w:fldChar w:fldCharType="end"/>
      </w:r>
      <w:r w:rsidR="001B23C9">
        <w:t xml:space="preserve"> </w:t>
      </w:r>
      <w:r w:rsidR="008E6BFD">
        <w:t>and data for the 20 worst monitors in the OTR can be seen in</w:t>
      </w:r>
      <w:r w:rsidR="00E445FF" w:rsidDel="00E445FF">
        <w:t xml:space="preserve"> </w:t>
      </w:r>
      <w:r w:rsidR="008E6BFD">
        <w:fldChar w:fldCharType="begin"/>
      </w:r>
      <w:r w:rsidR="008E6BFD">
        <w:instrText xml:space="preserve"> REF _Ref491244867 \h </w:instrText>
      </w:r>
      <w:r w:rsidR="008E6BFD">
        <w:fldChar w:fldCharType="separate"/>
      </w:r>
      <w:r w:rsidR="008E6BFD">
        <w:t xml:space="preserve">Table </w:t>
      </w:r>
      <w:r w:rsidR="008E6BFD">
        <w:rPr>
          <w:noProof/>
        </w:rPr>
        <w:t>2</w:t>
      </w:r>
      <w:r w:rsidR="008E6BFD">
        <w:fldChar w:fldCharType="end"/>
      </w:r>
      <w:r w:rsidR="008E6BFD">
        <w:t>.</w:t>
      </w:r>
    </w:p>
    <w:p w14:paraId="26890290" w14:textId="13054139" w:rsidR="00F34AA4" w:rsidRDefault="00F34AA4" w:rsidP="001C2012">
      <w:pPr>
        <w:pStyle w:val="Caption"/>
      </w:pPr>
      <w:bookmarkStart w:id="1" w:name="_Ref485126431"/>
      <w:r>
        <w:t xml:space="preserve">Table </w:t>
      </w:r>
      <w:fldSimple w:instr=" SEQ Table \* ARABIC ">
        <w:r w:rsidR="008E6BFD">
          <w:rPr>
            <w:noProof/>
          </w:rPr>
          <w:t>1</w:t>
        </w:r>
      </w:fldSimple>
      <w:bookmarkEnd w:id="1"/>
      <w:r>
        <w:t>: Ozone Monitoring Season Requirements (40 CFR</w:t>
      </w:r>
      <w:r w:rsidRPr="007C39F7">
        <w:t xml:space="preserve"> 58</w:t>
      </w:r>
      <w:r>
        <w:t xml:space="preserve"> </w:t>
      </w:r>
      <w:r w:rsidRPr="007C39F7">
        <w:t xml:space="preserve">Appendix D </w:t>
      </w:r>
      <w:r>
        <w:t>(4)(i))</w:t>
      </w:r>
    </w:p>
    <w:tbl>
      <w:tblPr>
        <w:tblW w:w="0" w:type="auto"/>
        <w:tblLook w:val="04A0" w:firstRow="1" w:lastRow="0" w:firstColumn="1" w:lastColumn="0" w:noHBand="0" w:noVBand="1"/>
      </w:tblPr>
      <w:tblGrid>
        <w:gridCol w:w="2443"/>
        <w:gridCol w:w="1396"/>
        <w:gridCol w:w="2244"/>
      </w:tblGrid>
      <w:tr w:rsidR="00E56286" w:rsidRPr="00F34AA4" w14:paraId="027E59D3" w14:textId="77777777" w:rsidTr="00C70071">
        <w:tc>
          <w:tcPr>
            <w:tcW w:w="2443" w:type="dxa"/>
            <w:tcBorders>
              <w:bottom w:val="single" w:sz="4" w:space="0" w:color="7F7F7F"/>
              <w:right w:val="nil"/>
            </w:tcBorders>
            <w:shd w:val="clear" w:color="auto" w:fill="auto"/>
          </w:tcPr>
          <w:p w14:paraId="7134157E" w14:textId="77777777" w:rsidR="00F34AA4" w:rsidRPr="001C2012" w:rsidRDefault="00F34AA4" w:rsidP="00C327E5">
            <w:pPr>
              <w:pStyle w:val="NoSpacing1"/>
              <w:rPr>
                <w:b/>
                <w:sz w:val="20"/>
                <w:szCs w:val="20"/>
              </w:rPr>
            </w:pPr>
            <w:r w:rsidRPr="001C2012">
              <w:rPr>
                <w:b/>
                <w:sz w:val="20"/>
                <w:szCs w:val="20"/>
              </w:rPr>
              <w:t>State</w:t>
            </w:r>
          </w:p>
        </w:tc>
        <w:tc>
          <w:tcPr>
            <w:tcW w:w="1396" w:type="dxa"/>
            <w:tcBorders>
              <w:bottom w:val="single" w:sz="4" w:space="0" w:color="7F7F7F"/>
            </w:tcBorders>
            <w:shd w:val="clear" w:color="auto" w:fill="auto"/>
          </w:tcPr>
          <w:p w14:paraId="7629720A" w14:textId="77777777" w:rsidR="00F34AA4" w:rsidRPr="001C2012" w:rsidRDefault="00F34AA4" w:rsidP="00C327E5">
            <w:pPr>
              <w:pStyle w:val="NoSpacing1"/>
              <w:rPr>
                <w:b/>
                <w:sz w:val="20"/>
                <w:szCs w:val="20"/>
              </w:rPr>
            </w:pPr>
            <w:r w:rsidRPr="001C2012">
              <w:rPr>
                <w:b/>
                <w:sz w:val="20"/>
                <w:szCs w:val="20"/>
              </w:rPr>
              <w:t>Start D</w:t>
            </w:r>
            <w:r w:rsidR="00476B35" w:rsidRPr="001C2012">
              <w:rPr>
                <w:b/>
                <w:sz w:val="20"/>
                <w:szCs w:val="20"/>
              </w:rPr>
              <w:t>ate</w:t>
            </w:r>
          </w:p>
        </w:tc>
        <w:tc>
          <w:tcPr>
            <w:tcW w:w="2244" w:type="dxa"/>
            <w:tcBorders>
              <w:bottom w:val="single" w:sz="4" w:space="0" w:color="7F7F7F"/>
            </w:tcBorders>
            <w:shd w:val="clear" w:color="auto" w:fill="auto"/>
          </w:tcPr>
          <w:p w14:paraId="2F08DFCC" w14:textId="77777777" w:rsidR="00F34AA4" w:rsidRPr="001C2012" w:rsidRDefault="00F34AA4" w:rsidP="00C327E5">
            <w:pPr>
              <w:pStyle w:val="NoSpacing1"/>
              <w:rPr>
                <w:b/>
                <w:sz w:val="20"/>
                <w:szCs w:val="20"/>
              </w:rPr>
            </w:pPr>
            <w:r w:rsidRPr="001C2012">
              <w:rPr>
                <w:b/>
                <w:sz w:val="20"/>
                <w:szCs w:val="20"/>
              </w:rPr>
              <w:t>End Date</w:t>
            </w:r>
          </w:p>
        </w:tc>
      </w:tr>
      <w:tr w:rsidR="00E56286" w:rsidRPr="00F34AA4" w14:paraId="5E55E253" w14:textId="77777777" w:rsidTr="00C70071">
        <w:tc>
          <w:tcPr>
            <w:tcW w:w="2443" w:type="dxa"/>
            <w:tcBorders>
              <w:right w:val="single" w:sz="4" w:space="0" w:color="7F7F7F"/>
            </w:tcBorders>
            <w:shd w:val="clear" w:color="auto" w:fill="F2F2F2"/>
          </w:tcPr>
          <w:p w14:paraId="4448966B" w14:textId="77777777" w:rsidR="00F34AA4" w:rsidRPr="001C2012" w:rsidRDefault="00F34AA4" w:rsidP="00C327E5">
            <w:pPr>
              <w:pStyle w:val="NoSpacing1"/>
              <w:rPr>
                <w:sz w:val="20"/>
                <w:szCs w:val="20"/>
              </w:rPr>
            </w:pPr>
            <w:r w:rsidRPr="001C2012">
              <w:rPr>
                <w:sz w:val="20"/>
                <w:szCs w:val="20"/>
              </w:rPr>
              <w:t>Connecticut</w:t>
            </w:r>
          </w:p>
        </w:tc>
        <w:tc>
          <w:tcPr>
            <w:tcW w:w="1396" w:type="dxa"/>
            <w:shd w:val="clear" w:color="auto" w:fill="F2F2F2"/>
          </w:tcPr>
          <w:p w14:paraId="2FBF6B81" w14:textId="77777777" w:rsidR="00F34AA4" w:rsidRPr="001C2012" w:rsidRDefault="00F34AA4" w:rsidP="00C327E5">
            <w:pPr>
              <w:pStyle w:val="NoSpacing1"/>
              <w:rPr>
                <w:sz w:val="20"/>
                <w:szCs w:val="20"/>
              </w:rPr>
            </w:pPr>
            <w:r w:rsidRPr="001C2012">
              <w:rPr>
                <w:sz w:val="20"/>
                <w:szCs w:val="20"/>
              </w:rPr>
              <w:t>March 1</w:t>
            </w:r>
          </w:p>
        </w:tc>
        <w:tc>
          <w:tcPr>
            <w:tcW w:w="2244" w:type="dxa"/>
            <w:shd w:val="clear" w:color="auto" w:fill="F2F2F2"/>
          </w:tcPr>
          <w:p w14:paraId="5D8BFC2B" w14:textId="77777777" w:rsidR="00F34AA4" w:rsidRPr="001C2012" w:rsidRDefault="00F34AA4" w:rsidP="00C327E5">
            <w:pPr>
              <w:pStyle w:val="NoSpacing1"/>
              <w:rPr>
                <w:sz w:val="20"/>
                <w:szCs w:val="20"/>
              </w:rPr>
            </w:pPr>
            <w:r w:rsidRPr="001C2012">
              <w:rPr>
                <w:sz w:val="20"/>
                <w:szCs w:val="20"/>
              </w:rPr>
              <w:t>September 30</w:t>
            </w:r>
          </w:p>
        </w:tc>
      </w:tr>
      <w:tr w:rsidR="00E56286" w:rsidRPr="00F34AA4" w14:paraId="28F3AC8A" w14:textId="77777777" w:rsidTr="00C70071">
        <w:tc>
          <w:tcPr>
            <w:tcW w:w="2443" w:type="dxa"/>
            <w:tcBorders>
              <w:right w:val="single" w:sz="4" w:space="0" w:color="7F7F7F"/>
            </w:tcBorders>
            <w:shd w:val="clear" w:color="auto" w:fill="auto"/>
          </w:tcPr>
          <w:p w14:paraId="1FD868CA" w14:textId="77777777" w:rsidR="00F34AA4" w:rsidRPr="001C2012" w:rsidRDefault="00F34AA4" w:rsidP="00C327E5">
            <w:pPr>
              <w:pStyle w:val="NoSpacing1"/>
              <w:rPr>
                <w:sz w:val="20"/>
                <w:szCs w:val="20"/>
              </w:rPr>
            </w:pPr>
            <w:r w:rsidRPr="001C2012">
              <w:rPr>
                <w:sz w:val="20"/>
                <w:szCs w:val="20"/>
              </w:rPr>
              <w:t>Delaware</w:t>
            </w:r>
          </w:p>
        </w:tc>
        <w:tc>
          <w:tcPr>
            <w:tcW w:w="1396" w:type="dxa"/>
            <w:shd w:val="clear" w:color="auto" w:fill="auto"/>
          </w:tcPr>
          <w:p w14:paraId="4C38D0AB" w14:textId="77777777" w:rsidR="00F34AA4" w:rsidRPr="001C2012" w:rsidRDefault="00F34AA4" w:rsidP="00C327E5">
            <w:pPr>
              <w:pStyle w:val="NoSpacing1"/>
              <w:rPr>
                <w:sz w:val="20"/>
                <w:szCs w:val="20"/>
              </w:rPr>
            </w:pPr>
            <w:r w:rsidRPr="001C2012">
              <w:rPr>
                <w:sz w:val="20"/>
                <w:szCs w:val="20"/>
              </w:rPr>
              <w:t>March 1</w:t>
            </w:r>
          </w:p>
        </w:tc>
        <w:tc>
          <w:tcPr>
            <w:tcW w:w="2244" w:type="dxa"/>
            <w:shd w:val="clear" w:color="auto" w:fill="auto"/>
          </w:tcPr>
          <w:p w14:paraId="3AAA0E4E" w14:textId="77777777" w:rsidR="00F34AA4" w:rsidRPr="001C2012" w:rsidRDefault="00F34AA4" w:rsidP="00C327E5">
            <w:pPr>
              <w:pStyle w:val="NoSpacing1"/>
              <w:rPr>
                <w:sz w:val="20"/>
                <w:szCs w:val="20"/>
              </w:rPr>
            </w:pPr>
            <w:r w:rsidRPr="001C2012">
              <w:rPr>
                <w:sz w:val="20"/>
                <w:szCs w:val="20"/>
              </w:rPr>
              <w:t>October 31</w:t>
            </w:r>
          </w:p>
        </w:tc>
      </w:tr>
      <w:tr w:rsidR="00E56286" w:rsidRPr="00F34AA4" w14:paraId="2E76FE52" w14:textId="77777777" w:rsidTr="00C70071">
        <w:tc>
          <w:tcPr>
            <w:tcW w:w="2443" w:type="dxa"/>
            <w:tcBorders>
              <w:right w:val="single" w:sz="4" w:space="0" w:color="7F7F7F"/>
            </w:tcBorders>
            <w:shd w:val="clear" w:color="auto" w:fill="F2F2F2"/>
          </w:tcPr>
          <w:p w14:paraId="272EFAAF" w14:textId="77777777" w:rsidR="00F34AA4" w:rsidRPr="001C2012" w:rsidRDefault="00F34AA4" w:rsidP="00C327E5">
            <w:pPr>
              <w:pStyle w:val="NoSpacing1"/>
              <w:rPr>
                <w:sz w:val="20"/>
                <w:szCs w:val="20"/>
              </w:rPr>
            </w:pPr>
            <w:r w:rsidRPr="001C2012">
              <w:rPr>
                <w:sz w:val="20"/>
                <w:szCs w:val="20"/>
              </w:rPr>
              <w:t>District of Columbia</w:t>
            </w:r>
          </w:p>
        </w:tc>
        <w:tc>
          <w:tcPr>
            <w:tcW w:w="1396" w:type="dxa"/>
            <w:shd w:val="clear" w:color="auto" w:fill="F2F2F2"/>
          </w:tcPr>
          <w:p w14:paraId="5053C92A" w14:textId="77777777" w:rsidR="00F34AA4" w:rsidRPr="001C2012" w:rsidRDefault="00F34AA4" w:rsidP="00C327E5">
            <w:pPr>
              <w:pStyle w:val="NoSpacing1"/>
              <w:rPr>
                <w:sz w:val="20"/>
                <w:szCs w:val="20"/>
              </w:rPr>
            </w:pPr>
            <w:r w:rsidRPr="001C2012">
              <w:rPr>
                <w:sz w:val="20"/>
                <w:szCs w:val="20"/>
              </w:rPr>
              <w:t>March 1</w:t>
            </w:r>
          </w:p>
        </w:tc>
        <w:tc>
          <w:tcPr>
            <w:tcW w:w="2244" w:type="dxa"/>
            <w:shd w:val="clear" w:color="auto" w:fill="F2F2F2"/>
          </w:tcPr>
          <w:p w14:paraId="395935F0" w14:textId="77777777" w:rsidR="00F34AA4" w:rsidRPr="001C2012" w:rsidRDefault="00F34AA4" w:rsidP="00C327E5">
            <w:pPr>
              <w:pStyle w:val="NoSpacing1"/>
              <w:rPr>
                <w:sz w:val="20"/>
                <w:szCs w:val="20"/>
              </w:rPr>
            </w:pPr>
            <w:r w:rsidRPr="001C2012">
              <w:rPr>
                <w:sz w:val="20"/>
                <w:szCs w:val="20"/>
              </w:rPr>
              <w:t>October 31</w:t>
            </w:r>
          </w:p>
        </w:tc>
      </w:tr>
      <w:tr w:rsidR="00E56286" w:rsidRPr="00F34AA4" w14:paraId="14ED955F" w14:textId="77777777" w:rsidTr="00C70071">
        <w:tc>
          <w:tcPr>
            <w:tcW w:w="2443" w:type="dxa"/>
            <w:tcBorders>
              <w:right w:val="single" w:sz="4" w:space="0" w:color="7F7F7F"/>
            </w:tcBorders>
            <w:shd w:val="clear" w:color="auto" w:fill="auto"/>
          </w:tcPr>
          <w:p w14:paraId="26076A3B" w14:textId="77777777" w:rsidR="00F34AA4" w:rsidRPr="001C2012" w:rsidRDefault="00F34AA4" w:rsidP="00C327E5">
            <w:pPr>
              <w:pStyle w:val="NoSpacing1"/>
              <w:rPr>
                <w:sz w:val="20"/>
                <w:szCs w:val="20"/>
              </w:rPr>
            </w:pPr>
            <w:r w:rsidRPr="001C2012">
              <w:rPr>
                <w:sz w:val="20"/>
                <w:szCs w:val="20"/>
              </w:rPr>
              <w:t>Maine</w:t>
            </w:r>
          </w:p>
        </w:tc>
        <w:tc>
          <w:tcPr>
            <w:tcW w:w="1396" w:type="dxa"/>
            <w:shd w:val="clear" w:color="auto" w:fill="auto"/>
          </w:tcPr>
          <w:p w14:paraId="05831621" w14:textId="77777777" w:rsidR="00F34AA4" w:rsidRPr="001C2012" w:rsidRDefault="00F34AA4" w:rsidP="00C327E5">
            <w:pPr>
              <w:pStyle w:val="NoSpacing1"/>
              <w:rPr>
                <w:sz w:val="20"/>
                <w:szCs w:val="20"/>
              </w:rPr>
            </w:pPr>
            <w:r w:rsidRPr="001C2012">
              <w:rPr>
                <w:sz w:val="20"/>
                <w:szCs w:val="20"/>
              </w:rPr>
              <w:t>April 1</w:t>
            </w:r>
          </w:p>
        </w:tc>
        <w:tc>
          <w:tcPr>
            <w:tcW w:w="2244" w:type="dxa"/>
            <w:shd w:val="clear" w:color="auto" w:fill="auto"/>
          </w:tcPr>
          <w:p w14:paraId="10F4A86A" w14:textId="77777777" w:rsidR="00F34AA4" w:rsidRPr="001C2012" w:rsidRDefault="00F34AA4" w:rsidP="00C327E5">
            <w:pPr>
              <w:pStyle w:val="NoSpacing1"/>
              <w:rPr>
                <w:sz w:val="20"/>
                <w:szCs w:val="20"/>
              </w:rPr>
            </w:pPr>
            <w:r w:rsidRPr="001C2012">
              <w:rPr>
                <w:sz w:val="20"/>
                <w:szCs w:val="20"/>
              </w:rPr>
              <w:t>September 30</w:t>
            </w:r>
          </w:p>
        </w:tc>
      </w:tr>
      <w:tr w:rsidR="00E56286" w:rsidRPr="00F34AA4" w14:paraId="3427ADD1" w14:textId="77777777" w:rsidTr="00C70071">
        <w:tc>
          <w:tcPr>
            <w:tcW w:w="2443" w:type="dxa"/>
            <w:tcBorders>
              <w:right w:val="single" w:sz="4" w:space="0" w:color="7F7F7F"/>
            </w:tcBorders>
            <w:shd w:val="clear" w:color="auto" w:fill="F2F2F2"/>
          </w:tcPr>
          <w:p w14:paraId="79880D17" w14:textId="77777777" w:rsidR="00F34AA4" w:rsidRPr="001C2012" w:rsidRDefault="00F34AA4" w:rsidP="00C327E5">
            <w:pPr>
              <w:pStyle w:val="NoSpacing1"/>
              <w:rPr>
                <w:sz w:val="20"/>
                <w:szCs w:val="20"/>
              </w:rPr>
            </w:pPr>
            <w:r w:rsidRPr="001C2012">
              <w:rPr>
                <w:sz w:val="20"/>
                <w:szCs w:val="20"/>
              </w:rPr>
              <w:t>Maryland</w:t>
            </w:r>
          </w:p>
        </w:tc>
        <w:tc>
          <w:tcPr>
            <w:tcW w:w="1396" w:type="dxa"/>
            <w:shd w:val="clear" w:color="auto" w:fill="F2F2F2"/>
          </w:tcPr>
          <w:p w14:paraId="736B124E" w14:textId="77777777" w:rsidR="00F34AA4" w:rsidRPr="001C2012" w:rsidRDefault="00F34AA4" w:rsidP="00C327E5">
            <w:pPr>
              <w:pStyle w:val="NoSpacing1"/>
              <w:rPr>
                <w:sz w:val="20"/>
                <w:szCs w:val="20"/>
              </w:rPr>
            </w:pPr>
            <w:r w:rsidRPr="001C2012">
              <w:rPr>
                <w:sz w:val="20"/>
                <w:szCs w:val="20"/>
              </w:rPr>
              <w:t>March 1</w:t>
            </w:r>
          </w:p>
        </w:tc>
        <w:tc>
          <w:tcPr>
            <w:tcW w:w="2244" w:type="dxa"/>
            <w:shd w:val="clear" w:color="auto" w:fill="F2F2F2"/>
          </w:tcPr>
          <w:p w14:paraId="6DAA2A5A" w14:textId="77777777" w:rsidR="00F34AA4" w:rsidRPr="001C2012" w:rsidRDefault="00F34AA4" w:rsidP="00C327E5">
            <w:pPr>
              <w:pStyle w:val="NoSpacing1"/>
              <w:rPr>
                <w:sz w:val="20"/>
                <w:szCs w:val="20"/>
              </w:rPr>
            </w:pPr>
            <w:r w:rsidRPr="001C2012">
              <w:rPr>
                <w:sz w:val="20"/>
                <w:szCs w:val="20"/>
              </w:rPr>
              <w:t>October 31</w:t>
            </w:r>
          </w:p>
        </w:tc>
      </w:tr>
      <w:tr w:rsidR="00E56286" w:rsidRPr="00F34AA4" w14:paraId="2E67F249" w14:textId="77777777" w:rsidTr="00C70071">
        <w:tc>
          <w:tcPr>
            <w:tcW w:w="2443" w:type="dxa"/>
            <w:tcBorders>
              <w:right w:val="single" w:sz="4" w:space="0" w:color="7F7F7F"/>
            </w:tcBorders>
            <w:shd w:val="clear" w:color="auto" w:fill="auto"/>
          </w:tcPr>
          <w:p w14:paraId="7143ECC9" w14:textId="77777777" w:rsidR="00F34AA4" w:rsidRPr="001C2012" w:rsidRDefault="00F34AA4" w:rsidP="00C327E5">
            <w:pPr>
              <w:pStyle w:val="NoSpacing1"/>
              <w:rPr>
                <w:sz w:val="20"/>
                <w:szCs w:val="20"/>
              </w:rPr>
            </w:pPr>
            <w:r w:rsidRPr="001C2012">
              <w:rPr>
                <w:sz w:val="20"/>
                <w:szCs w:val="20"/>
              </w:rPr>
              <w:t>Massachusetts</w:t>
            </w:r>
          </w:p>
        </w:tc>
        <w:tc>
          <w:tcPr>
            <w:tcW w:w="1396" w:type="dxa"/>
            <w:shd w:val="clear" w:color="auto" w:fill="auto"/>
          </w:tcPr>
          <w:p w14:paraId="55DFCE42" w14:textId="77777777" w:rsidR="00F34AA4" w:rsidRPr="001C2012" w:rsidRDefault="00F34AA4" w:rsidP="00C327E5">
            <w:pPr>
              <w:pStyle w:val="NoSpacing1"/>
              <w:rPr>
                <w:sz w:val="20"/>
                <w:szCs w:val="20"/>
              </w:rPr>
            </w:pPr>
            <w:r w:rsidRPr="001C2012">
              <w:rPr>
                <w:sz w:val="20"/>
                <w:szCs w:val="20"/>
              </w:rPr>
              <w:t>March 1</w:t>
            </w:r>
          </w:p>
        </w:tc>
        <w:tc>
          <w:tcPr>
            <w:tcW w:w="2244" w:type="dxa"/>
            <w:shd w:val="clear" w:color="auto" w:fill="auto"/>
          </w:tcPr>
          <w:p w14:paraId="05F8A1E8" w14:textId="77777777" w:rsidR="00F34AA4" w:rsidRPr="001C2012" w:rsidRDefault="00F34AA4" w:rsidP="00C327E5">
            <w:pPr>
              <w:pStyle w:val="NoSpacing1"/>
              <w:rPr>
                <w:sz w:val="20"/>
                <w:szCs w:val="20"/>
              </w:rPr>
            </w:pPr>
            <w:r w:rsidRPr="001C2012">
              <w:rPr>
                <w:sz w:val="20"/>
                <w:szCs w:val="20"/>
              </w:rPr>
              <w:t>September 30</w:t>
            </w:r>
          </w:p>
        </w:tc>
      </w:tr>
      <w:tr w:rsidR="00E56286" w:rsidRPr="00F34AA4" w14:paraId="25316BE8" w14:textId="77777777" w:rsidTr="00C70071">
        <w:tc>
          <w:tcPr>
            <w:tcW w:w="2443" w:type="dxa"/>
            <w:tcBorders>
              <w:right w:val="single" w:sz="4" w:space="0" w:color="7F7F7F"/>
            </w:tcBorders>
            <w:shd w:val="clear" w:color="auto" w:fill="F2F2F2"/>
          </w:tcPr>
          <w:p w14:paraId="64C6AC6A" w14:textId="77777777" w:rsidR="00F34AA4" w:rsidRPr="001C2012" w:rsidRDefault="00F34AA4" w:rsidP="00C327E5">
            <w:pPr>
              <w:pStyle w:val="NoSpacing1"/>
              <w:rPr>
                <w:sz w:val="20"/>
                <w:szCs w:val="20"/>
              </w:rPr>
            </w:pPr>
            <w:r w:rsidRPr="001C2012">
              <w:rPr>
                <w:sz w:val="20"/>
                <w:szCs w:val="20"/>
              </w:rPr>
              <w:t>New Hampshire</w:t>
            </w:r>
          </w:p>
        </w:tc>
        <w:tc>
          <w:tcPr>
            <w:tcW w:w="1396" w:type="dxa"/>
            <w:shd w:val="clear" w:color="auto" w:fill="F2F2F2"/>
          </w:tcPr>
          <w:p w14:paraId="34D14CCE" w14:textId="77777777" w:rsidR="00F34AA4" w:rsidRPr="001C2012" w:rsidRDefault="00F34AA4" w:rsidP="00C327E5">
            <w:pPr>
              <w:pStyle w:val="NoSpacing1"/>
              <w:rPr>
                <w:sz w:val="20"/>
                <w:szCs w:val="20"/>
              </w:rPr>
            </w:pPr>
            <w:r w:rsidRPr="001C2012">
              <w:rPr>
                <w:sz w:val="20"/>
                <w:szCs w:val="20"/>
              </w:rPr>
              <w:t>March 1</w:t>
            </w:r>
          </w:p>
        </w:tc>
        <w:tc>
          <w:tcPr>
            <w:tcW w:w="2244" w:type="dxa"/>
            <w:shd w:val="clear" w:color="auto" w:fill="F2F2F2"/>
          </w:tcPr>
          <w:p w14:paraId="5C7C3CB2" w14:textId="77777777" w:rsidR="00F34AA4" w:rsidRPr="001C2012" w:rsidRDefault="00F34AA4" w:rsidP="00C327E5">
            <w:pPr>
              <w:pStyle w:val="NoSpacing1"/>
              <w:rPr>
                <w:sz w:val="20"/>
                <w:szCs w:val="20"/>
              </w:rPr>
            </w:pPr>
            <w:r w:rsidRPr="001C2012">
              <w:rPr>
                <w:sz w:val="20"/>
                <w:szCs w:val="20"/>
              </w:rPr>
              <w:t>September 30</w:t>
            </w:r>
          </w:p>
        </w:tc>
      </w:tr>
      <w:tr w:rsidR="00E56286" w:rsidRPr="00F34AA4" w14:paraId="4567C31B" w14:textId="77777777" w:rsidTr="00C70071">
        <w:tc>
          <w:tcPr>
            <w:tcW w:w="2443" w:type="dxa"/>
            <w:tcBorders>
              <w:right w:val="single" w:sz="4" w:space="0" w:color="7F7F7F"/>
            </w:tcBorders>
            <w:shd w:val="clear" w:color="auto" w:fill="auto"/>
          </w:tcPr>
          <w:p w14:paraId="740564B1" w14:textId="77777777" w:rsidR="00F34AA4" w:rsidRPr="001C2012" w:rsidRDefault="00F34AA4" w:rsidP="00C327E5">
            <w:pPr>
              <w:pStyle w:val="NoSpacing1"/>
              <w:rPr>
                <w:sz w:val="20"/>
                <w:szCs w:val="20"/>
              </w:rPr>
            </w:pPr>
            <w:r w:rsidRPr="001C2012">
              <w:rPr>
                <w:sz w:val="20"/>
                <w:szCs w:val="20"/>
              </w:rPr>
              <w:t>New Jersey</w:t>
            </w:r>
          </w:p>
        </w:tc>
        <w:tc>
          <w:tcPr>
            <w:tcW w:w="1396" w:type="dxa"/>
            <w:shd w:val="clear" w:color="auto" w:fill="auto"/>
          </w:tcPr>
          <w:p w14:paraId="0DF4CA19" w14:textId="77777777" w:rsidR="00F34AA4" w:rsidRPr="001C2012" w:rsidRDefault="00F34AA4" w:rsidP="00C327E5">
            <w:pPr>
              <w:pStyle w:val="NoSpacing1"/>
              <w:rPr>
                <w:sz w:val="20"/>
                <w:szCs w:val="20"/>
              </w:rPr>
            </w:pPr>
            <w:r w:rsidRPr="001C2012">
              <w:rPr>
                <w:sz w:val="20"/>
                <w:szCs w:val="20"/>
              </w:rPr>
              <w:t>March 1</w:t>
            </w:r>
          </w:p>
        </w:tc>
        <w:tc>
          <w:tcPr>
            <w:tcW w:w="2244" w:type="dxa"/>
            <w:shd w:val="clear" w:color="auto" w:fill="auto"/>
          </w:tcPr>
          <w:p w14:paraId="02F9D4DD" w14:textId="77777777" w:rsidR="00F34AA4" w:rsidRPr="001C2012" w:rsidRDefault="00F34AA4" w:rsidP="00C327E5">
            <w:pPr>
              <w:pStyle w:val="NoSpacing1"/>
              <w:rPr>
                <w:sz w:val="20"/>
                <w:szCs w:val="20"/>
              </w:rPr>
            </w:pPr>
            <w:r w:rsidRPr="001C2012">
              <w:rPr>
                <w:sz w:val="20"/>
                <w:szCs w:val="20"/>
              </w:rPr>
              <w:t>October 31</w:t>
            </w:r>
          </w:p>
        </w:tc>
      </w:tr>
      <w:tr w:rsidR="00E56286" w:rsidRPr="00F34AA4" w14:paraId="3EFAC973" w14:textId="77777777" w:rsidTr="00C70071">
        <w:tc>
          <w:tcPr>
            <w:tcW w:w="2443" w:type="dxa"/>
            <w:tcBorders>
              <w:right w:val="single" w:sz="4" w:space="0" w:color="7F7F7F"/>
            </w:tcBorders>
            <w:shd w:val="clear" w:color="auto" w:fill="F2F2F2"/>
          </w:tcPr>
          <w:p w14:paraId="38B4ABB8" w14:textId="77777777" w:rsidR="00F34AA4" w:rsidRPr="001C2012" w:rsidRDefault="00F34AA4" w:rsidP="00C327E5">
            <w:pPr>
              <w:pStyle w:val="NoSpacing1"/>
              <w:rPr>
                <w:sz w:val="20"/>
                <w:szCs w:val="20"/>
              </w:rPr>
            </w:pPr>
            <w:r w:rsidRPr="001C2012">
              <w:rPr>
                <w:sz w:val="20"/>
                <w:szCs w:val="20"/>
              </w:rPr>
              <w:t>New York</w:t>
            </w:r>
          </w:p>
        </w:tc>
        <w:tc>
          <w:tcPr>
            <w:tcW w:w="1396" w:type="dxa"/>
            <w:shd w:val="clear" w:color="auto" w:fill="F2F2F2"/>
          </w:tcPr>
          <w:p w14:paraId="062C7236" w14:textId="77777777" w:rsidR="00F34AA4" w:rsidRPr="001C2012" w:rsidRDefault="00F34AA4" w:rsidP="00C327E5">
            <w:pPr>
              <w:pStyle w:val="NoSpacing1"/>
              <w:rPr>
                <w:sz w:val="20"/>
                <w:szCs w:val="20"/>
              </w:rPr>
            </w:pPr>
            <w:r w:rsidRPr="001C2012">
              <w:rPr>
                <w:sz w:val="20"/>
                <w:szCs w:val="20"/>
              </w:rPr>
              <w:t>March 1</w:t>
            </w:r>
          </w:p>
        </w:tc>
        <w:tc>
          <w:tcPr>
            <w:tcW w:w="2244" w:type="dxa"/>
            <w:shd w:val="clear" w:color="auto" w:fill="F2F2F2"/>
          </w:tcPr>
          <w:p w14:paraId="72263637" w14:textId="77777777" w:rsidR="00F34AA4" w:rsidRPr="001C2012" w:rsidRDefault="00F34AA4" w:rsidP="00C327E5">
            <w:pPr>
              <w:pStyle w:val="NoSpacing1"/>
              <w:rPr>
                <w:sz w:val="20"/>
                <w:szCs w:val="20"/>
              </w:rPr>
            </w:pPr>
            <w:r w:rsidRPr="001C2012">
              <w:rPr>
                <w:sz w:val="20"/>
                <w:szCs w:val="20"/>
              </w:rPr>
              <w:t>October 31</w:t>
            </w:r>
          </w:p>
        </w:tc>
      </w:tr>
      <w:tr w:rsidR="00E56286" w:rsidRPr="00F34AA4" w14:paraId="0952F81A" w14:textId="77777777" w:rsidTr="00C70071">
        <w:tc>
          <w:tcPr>
            <w:tcW w:w="2443" w:type="dxa"/>
            <w:tcBorders>
              <w:right w:val="single" w:sz="4" w:space="0" w:color="7F7F7F"/>
            </w:tcBorders>
            <w:shd w:val="clear" w:color="auto" w:fill="auto"/>
          </w:tcPr>
          <w:p w14:paraId="360F2927" w14:textId="77777777" w:rsidR="00F34AA4" w:rsidRPr="001C2012" w:rsidRDefault="00F34AA4" w:rsidP="00C327E5">
            <w:pPr>
              <w:pStyle w:val="NoSpacing1"/>
              <w:rPr>
                <w:sz w:val="20"/>
                <w:szCs w:val="20"/>
              </w:rPr>
            </w:pPr>
            <w:r w:rsidRPr="001C2012">
              <w:rPr>
                <w:sz w:val="20"/>
                <w:szCs w:val="20"/>
              </w:rPr>
              <w:t>Pennsylvania</w:t>
            </w:r>
          </w:p>
        </w:tc>
        <w:tc>
          <w:tcPr>
            <w:tcW w:w="1396" w:type="dxa"/>
            <w:shd w:val="clear" w:color="auto" w:fill="auto"/>
          </w:tcPr>
          <w:p w14:paraId="7EAA97FA" w14:textId="77777777" w:rsidR="00F34AA4" w:rsidRPr="001C2012" w:rsidRDefault="00F34AA4" w:rsidP="00C327E5">
            <w:pPr>
              <w:pStyle w:val="NoSpacing1"/>
              <w:rPr>
                <w:sz w:val="20"/>
                <w:szCs w:val="20"/>
              </w:rPr>
            </w:pPr>
            <w:r w:rsidRPr="001C2012">
              <w:rPr>
                <w:sz w:val="20"/>
                <w:szCs w:val="20"/>
              </w:rPr>
              <w:t>March 1</w:t>
            </w:r>
          </w:p>
        </w:tc>
        <w:tc>
          <w:tcPr>
            <w:tcW w:w="2244" w:type="dxa"/>
            <w:shd w:val="clear" w:color="auto" w:fill="auto"/>
          </w:tcPr>
          <w:p w14:paraId="719557B7" w14:textId="77777777" w:rsidR="00F34AA4" w:rsidRPr="001C2012" w:rsidRDefault="00F34AA4" w:rsidP="00C327E5">
            <w:pPr>
              <w:pStyle w:val="NoSpacing1"/>
              <w:rPr>
                <w:sz w:val="20"/>
                <w:szCs w:val="20"/>
              </w:rPr>
            </w:pPr>
            <w:r w:rsidRPr="001C2012">
              <w:rPr>
                <w:sz w:val="20"/>
                <w:szCs w:val="20"/>
              </w:rPr>
              <w:t>October 31</w:t>
            </w:r>
          </w:p>
        </w:tc>
      </w:tr>
      <w:tr w:rsidR="00E56286" w:rsidRPr="00F34AA4" w14:paraId="7B325105" w14:textId="77777777" w:rsidTr="00C70071">
        <w:tc>
          <w:tcPr>
            <w:tcW w:w="2443" w:type="dxa"/>
            <w:tcBorders>
              <w:right w:val="single" w:sz="4" w:space="0" w:color="7F7F7F"/>
            </w:tcBorders>
            <w:shd w:val="clear" w:color="auto" w:fill="F2F2F2"/>
          </w:tcPr>
          <w:p w14:paraId="4F04B138" w14:textId="77777777" w:rsidR="00F34AA4" w:rsidRPr="001C2012" w:rsidRDefault="00F34AA4" w:rsidP="00C327E5">
            <w:pPr>
              <w:pStyle w:val="NoSpacing1"/>
              <w:rPr>
                <w:sz w:val="20"/>
                <w:szCs w:val="20"/>
              </w:rPr>
            </w:pPr>
            <w:r w:rsidRPr="001C2012">
              <w:rPr>
                <w:sz w:val="20"/>
                <w:szCs w:val="20"/>
              </w:rPr>
              <w:t>Rhode Island</w:t>
            </w:r>
          </w:p>
        </w:tc>
        <w:tc>
          <w:tcPr>
            <w:tcW w:w="1396" w:type="dxa"/>
            <w:shd w:val="clear" w:color="auto" w:fill="F2F2F2"/>
          </w:tcPr>
          <w:p w14:paraId="020F9EE5" w14:textId="77777777" w:rsidR="00F34AA4" w:rsidRPr="001C2012" w:rsidRDefault="00F34AA4" w:rsidP="00C327E5">
            <w:pPr>
              <w:pStyle w:val="NoSpacing1"/>
              <w:rPr>
                <w:sz w:val="20"/>
                <w:szCs w:val="20"/>
              </w:rPr>
            </w:pPr>
            <w:r w:rsidRPr="001C2012">
              <w:rPr>
                <w:sz w:val="20"/>
                <w:szCs w:val="20"/>
              </w:rPr>
              <w:t>March 1</w:t>
            </w:r>
          </w:p>
        </w:tc>
        <w:tc>
          <w:tcPr>
            <w:tcW w:w="2244" w:type="dxa"/>
            <w:shd w:val="clear" w:color="auto" w:fill="F2F2F2"/>
          </w:tcPr>
          <w:p w14:paraId="2C4F59BC" w14:textId="77777777" w:rsidR="00F34AA4" w:rsidRPr="001C2012" w:rsidRDefault="00F34AA4" w:rsidP="00C327E5">
            <w:pPr>
              <w:pStyle w:val="NoSpacing1"/>
              <w:rPr>
                <w:sz w:val="20"/>
                <w:szCs w:val="20"/>
              </w:rPr>
            </w:pPr>
            <w:r w:rsidRPr="001C2012">
              <w:rPr>
                <w:sz w:val="20"/>
                <w:szCs w:val="20"/>
              </w:rPr>
              <w:t>September 30</w:t>
            </w:r>
          </w:p>
        </w:tc>
      </w:tr>
      <w:tr w:rsidR="00E56286" w:rsidRPr="00F34AA4" w14:paraId="073B3A7E" w14:textId="77777777" w:rsidTr="00C70071">
        <w:tc>
          <w:tcPr>
            <w:tcW w:w="2443" w:type="dxa"/>
            <w:tcBorders>
              <w:right w:val="single" w:sz="4" w:space="0" w:color="7F7F7F"/>
            </w:tcBorders>
            <w:shd w:val="clear" w:color="auto" w:fill="auto"/>
          </w:tcPr>
          <w:p w14:paraId="545B27D9" w14:textId="77777777" w:rsidR="00F34AA4" w:rsidRPr="001C2012" w:rsidRDefault="00F34AA4" w:rsidP="00C327E5">
            <w:pPr>
              <w:pStyle w:val="NoSpacing1"/>
              <w:rPr>
                <w:sz w:val="20"/>
                <w:szCs w:val="20"/>
              </w:rPr>
            </w:pPr>
            <w:r w:rsidRPr="001C2012">
              <w:rPr>
                <w:sz w:val="20"/>
                <w:szCs w:val="20"/>
              </w:rPr>
              <w:t>Vermont</w:t>
            </w:r>
          </w:p>
        </w:tc>
        <w:tc>
          <w:tcPr>
            <w:tcW w:w="1396" w:type="dxa"/>
            <w:shd w:val="clear" w:color="auto" w:fill="auto"/>
          </w:tcPr>
          <w:p w14:paraId="48149390" w14:textId="77777777" w:rsidR="00F34AA4" w:rsidRPr="001C2012" w:rsidRDefault="00F34AA4" w:rsidP="00C327E5">
            <w:pPr>
              <w:pStyle w:val="NoSpacing1"/>
              <w:rPr>
                <w:sz w:val="20"/>
                <w:szCs w:val="20"/>
              </w:rPr>
            </w:pPr>
            <w:r w:rsidRPr="001C2012">
              <w:rPr>
                <w:sz w:val="20"/>
                <w:szCs w:val="20"/>
              </w:rPr>
              <w:t>April 1</w:t>
            </w:r>
          </w:p>
        </w:tc>
        <w:tc>
          <w:tcPr>
            <w:tcW w:w="2244" w:type="dxa"/>
            <w:shd w:val="clear" w:color="auto" w:fill="auto"/>
          </w:tcPr>
          <w:p w14:paraId="586DCC16" w14:textId="77777777" w:rsidR="00F34AA4" w:rsidRPr="001C2012" w:rsidRDefault="00F34AA4" w:rsidP="00C327E5">
            <w:pPr>
              <w:pStyle w:val="NoSpacing1"/>
              <w:rPr>
                <w:sz w:val="20"/>
                <w:szCs w:val="20"/>
              </w:rPr>
            </w:pPr>
            <w:r w:rsidRPr="001C2012">
              <w:rPr>
                <w:sz w:val="20"/>
                <w:szCs w:val="20"/>
              </w:rPr>
              <w:t>September 30</w:t>
            </w:r>
          </w:p>
        </w:tc>
      </w:tr>
      <w:tr w:rsidR="00E56286" w:rsidRPr="00F34AA4" w14:paraId="72BF4E6E" w14:textId="77777777" w:rsidTr="00C70071">
        <w:tc>
          <w:tcPr>
            <w:tcW w:w="2443" w:type="dxa"/>
            <w:tcBorders>
              <w:right w:val="single" w:sz="4" w:space="0" w:color="7F7F7F"/>
            </w:tcBorders>
            <w:shd w:val="clear" w:color="auto" w:fill="F2F2F2"/>
          </w:tcPr>
          <w:p w14:paraId="063FA6BB" w14:textId="77777777" w:rsidR="00F34AA4" w:rsidRPr="001C2012" w:rsidRDefault="00F34AA4" w:rsidP="00C327E5">
            <w:pPr>
              <w:pStyle w:val="NoSpacing1"/>
              <w:rPr>
                <w:sz w:val="20"/>
                <w:szCs w:val="20"/>
              </w:rPr>
            </w:pPr>
            <w:r w:rsidRPr="001C2012">
              <w:rPr>
                <w:sz w:val="20"/>
                <w:szCs w:val="20"/>
              </w:rPr>
              <w:t>Virginia</w:t>
            </w:r>
          </w:p>
        </w:tc>
        <w:tc>
          <w:tcPr>
            <w:tcW w:w="1396" w:type="dxa"/>
            <w:shd w:val="clear" w:color="auto" w:fill="F2F2F2"/>
          </w:tcPr>
          <w:p w14:paraId="52EBF4D4" w14:textId="77777777" w:rsidR="00F34AA4" w:rsidRPr="001C2012" w:rsidRDefault="00F34AA4" w:rsidP="00C327E5">
            <w:pPr>
              <w:pStyle w:val="NoSpacing1"/>
              <w:rPr>
                <w:sz w:val="20"/>
                <w:szCs w:val="20"/>
              </w:rPr>
            </w:pPr>
            <w:r w:rsidRPr="001C2012">
              <w:rPr>
                <w:sz w:val="20"/>
                <w:szCs w:val="20"/>
              </w:rPr>
              <w:t>March 1</w:t>
            </w:r>
          </w:p>
        </w:tc>
        <w:tc>
          <w:tcPr>
            <w:tcW w:w="2244" w:type="dxa"/>
            <w:shd w:val="clear" w:color="auto" w:fill="F2F2F2"/>
          </w:tcPr>
          <w:p w14:paraId="411C38E4" w14:textId="77777777" w:rsidR="00F34AA4" w:rsidRPr="001C2012" w:rsidRDefault="00F34AA4" w:rsidP="00C327E5">
            <w:pPr>
              <w:pStyle w:val="NoSpacing1"/>
              <w:rPr>
                <w:sz w:val="20"/>
                <w:szCs w:val="20"/>
              </w:rPr>
            </w:pPr>
            <w:r w:rsidRPr="001C2012">
              <w:rPr>
                <w:sz w:val="20"/>
                <w:szCs w:val="20"/>
              </w:rPr>
              <w:t>October 31</w:t>
            </w:r>
          </w:p>
        </w:tc>
      </w:tr>
    </w:tbl>
    <w:p w14:paraId="627BBD0A" w14:textId="77777777" w:rsidR="008E6BFD" w:rsidRDefault="008E6BFD" w:rsidP="008E6BFD">
      <w:pPr>
        <w:rPr>
          <w:color w:val="1F497D"/>
        </w:rPr>
      </w:pPr>
      <w:r>
        <w:rPr>
          <w:color w:val="1F497D"/>
        </w:rPr>
        <w:t> </w:t>
      </w:r>
    </w:p>
    <w:tbl>
      <w:tblPr>
        <w:tblStyle w:val="TableGrid"/>
        <w:tblW w:w="0" w:type="auto"/>
        <w:tblLook w:val="04A0" w:firstRow="1" w:lastRow="0" w:firstColumn="1" w:lastColumn="0" w:noHBand="0" w:noVBand="1"/>
      </w:tblPr>
      <w:tblGrid>
        <w:gridCol w:w="4675"/>
        <w:gridCol w:w="4675"/>
      </w:tblGrid>
      <w:tr w:rsidR="008D65FC" w14:paraId="3C32C00D" w14:textId="77777777" w:rsidTr="008D65FC">
        <w:tc>
          <w:tcPr>
            <w:tcW w:w="4675" w:type="dxa"/>
          </w:tcPr>
          <w:p w14:paraId="53E8E2C2" w14:textId="6C4832DA" w:rsidR="00925859" w:rsidRDefault="00925859" w:rsidP="00925859">
            <w:pPr>
              <w:pStyle w:val="Caption"/>
            </w:pPr>
            <w:bookmarkStart w:id="2" w:name="_Ref492372893"/>
            <w:r>
              <w:lastRenderedPageBreak/>
              <w:t xml:space="preserve">Figure </w:t>
            </w:r>
            <w:fldSimple w:instr=" SEQ Figure \* ARABIC ">
              <w:r w:rsidR="00741738">
                <w:rPr>
                  <w:noProof/>
                </w:rPr>
                <w:t>1</w:t>
              </w:r>
            </w:fldSimple>
            <w:bookmarkEnd w:id="2"/>
            <w:r>
              <w:t>: 4</w:t>
            </w:r>
            <w:r w:rsidRPr="001B23C9">
              <w:rPr>
                <w:vertAlign w:val="superscript"/>
              </w:rPr>
              <w:t>th</w:t>
            </w:r>
            <w:r>
              <w:t xml:space="preserve"> high monitored 8-hour ozone values for 2013</w:t>
            </w:r>
          </w:p>
          <w:p w14:paraId="137DFACC" w14:textId="18E7F6B0" w:rsidR="008D65FC" w:rsidRDefault="008D65FC" w:rsidP="001B23C9">
            <w:pPr>
              <w:pStyle w:val="NoSpacing1"/>
            </w:pPr>
            <w:r>
              <w:rPr>
                <w:noProof/>
              </w:rPr>
              <w:drawing>
                <wp:inline distT="0" distB="0" distL="0" distR="0" wp14:anchorId="15EF89EB" wp14:editId="59B58E4D">
                  <wp:extent cx="2971800" cy="21015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3 monitor map.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71800" cy="2101533"/>
                          </a:xfrm>
                          <a:prstGeom prst="rect">
                            <a:avLst/>
                          </a:prstGeom>
                        </pic:spPr>
                      </pic:pic>
                    </a:graphicData>
                  </a:graphic>
                </wp:inline>
              </w:drawing>
            </w:r>
          </w:p>
        </w:tc>
        <w:tc>
          <w:tcPr>
            <w:tcW w:w="4675" w:type="dxa"/>
          </w:tcPr>
          <w:p w14:paraId="17186D0C" w14:textId="148F60FD" w:rsidR="00925859" w:rsidRDefault="00925859" w:rsidP="00925859">
            <w:pPr>
              <w:pStyle w:val="Caption"/>
            </w:pPr>
            <w:r>
              <w:t xml:space="preserve">Figure </w:t>
            </w:r>
            <w:fldSimple w:instr=" SEQ Figure \* ARABIC ">
              <w:r w:rsidR="00741738">
                <w:rPr>
                  <w:noProof/>
                </w:rPr>
                <w:t>2</w:t>
              </w:r>
            </w:fldSimple>
            <w:r>
              <w:t>: 4</w:t>
            </w:r>
            <w:r w:rsidRPr="00652C03">
              <w:rPr>
                <w:vertAlign w:val="superscript"/>
              </w:rPr>
              <w:t>th</w:t>
            </w:r>
            <w:r>
              <w:t xml:space="preserve"> high monitored 8-hour ozone values for 2014</w:t>
            </w:r>
          </w:p>
          <w:p w14:paraId="630B1BB4" w14:textId="7DAC2BC4" w:rsidR="008D65FC" w:rsidRDefault="008D65FC" w:rsidP="001B23C9">
            <w:pPr>
              <w:pStyle w:val="NoSpacing1"/>
            </w:pPr>
            <w:r>
              <w:rPr>
                <w:noProof/>
              </w:rPr>
              <w:drawing>
                <wp:inline distT="0" distB="0" distL="0" distR="0" wp14:anchorId="5117EFB8" wp14:editId="477E7F50">
                  <wp:extent cx="2971800" cy="21015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4 monitor ma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1800" cy="2101533"/>
                          </a:xfrm>
                          <a:prstGeom prst="rect">
                            <a:avLst/>
                          </a:prstGeom>
                        </pic:spPr>
                      </pic:pic>
                    </a:graphicData>
                  </a:graphic>
                </wp:inline>
              </w:drawing>
            </w:r>
          </w:p>
        </w:tc>
      </w:tr>
      <w:tr w:rsidR="008D65FC" w14:paraId="2D2E2F75" w14:textId="77777777" w:rsidTr="008D65FC">
        <w:tc>
          <w:tcPr>
            <w:tcW w:w="4675" w:type="dxa"/>
          </w:tcPr>
          <w:p w14:paraId="1609C9DE" w14:textId="274FD51E" w:rsidR="00925859" w:rsidRDefault="00925859" w:rsidP="00925859">
            <w:pPr>
              <w:pStyle w:val="Caption"/>
            </w:pPr>
            <w:r>
              <w:t xml:space="preserve">Figure </w:t>
            </w:r>
            <w:fldSimple w:instr=" SEQ Figure \* ARABIC ">
              <w:r w:rsidR="00741738">
                <w:rPr>
                  <w:noProof/>
                </w:rPr>
                <w:t>3</w:t>
              </w:r>
            </w:fldSimple>
            <w:r>
              <w:t>: 4</w:t>
            </w:r>
            <w:r w:rsidRPr="00652C03">
              <w:rPr>
                <w:vertAlign w:val="superscript"/>
              </w:rPr>
              <w:t>th</w:t>
            </w:r>
            <w:r>
              <w:t xml:space="preserve"> high monitored 8-hour ozone values for 2015</w:t>
            </w:r>
          </w:p>
          <w:p w14:paraId="01FE8FA3" w14:textId="6AFC79DA" w:rsidR="008D65FC" w:rsidRDefault="008D65FC" w:rsidP="008E6BFD">
            <w:pPr>
              <w:rPr>
                <w:color w:val="000000"/>
              </w:rPr>
            </w:pPr>
            <w:r>
              <w:rPr>
                <w:noProof/>
                <w:color w:val="000000"/>
              </w:rPr>
              <w:drawing>
                <wp:inline distT="0" distB="0" distL="0" distR="0" wp14:anchorId="72DBA32B" wp14:editId="3DC1C813">
                  <wp:extent cx="2971800" cy="21015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5 monitor ma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1800" cy="2101533"/>
                          </a:xfrm>
                          <a:prstGeom prst="rect">
                            <a:avLst/>
                          </a:prstGeom>
                        </pic:spPr>
                      </pic:pic>
                    </a:graphicData>
                  </a:graphic>
                </wp:inline>
              </w:drawing>
            </w:r>
          </w:p>
        </w:tc>
        <w:tc>
          <w:tcPr>
            <w:tcW w:w="4675" w:type="dxa"/>
          </w:tcPr>
          <w:p w14:paraId="33543EC8" w14:textId="7D329944" w:rsidR="00925859" w:rsidRDefault="00925859" w:rsidP="00925859">
            <w:pPr>
              <w:pStyle w:val="Caption"/>
            </w:pPr>
            <w:bookmarkStart w:id="3" w:name="_Ref492372894"/>
            <w:r>
              <w:t xml:space="preserve">Figure </w:t>
            </w:r>
            <w:fldSimple w:instr=" SEQ Figure \* ARABIC ">
              <w:r w:rsidR="00741738">
                <w:rPr>
                  <w:noProof/>
                </w:rPr>
                <w:t>4</w:t>
              </w:r>
            </w:fldSimple>
            <w:bookmarkEnd w:id="3"/>
            <w:r>
              <w:t>: 4</w:t>
            </w:r>
            <w:r w:rsidRPr="00652C03">
              <w:rPr>
                <w:vertAlign w:val="superscript"/>
              </w:rPr>
              <w:t>th</w:t>
            </w:r>
            <w:r>
              <w:t xml:space="preserve"> high monitored 8-hour ozone values for 2016</w:t>
            </w:r>
          </w:p>
          <w:p w14:paraId="1DD91CAF" w14:textId="00562E6A" w:rsidR="008D65FC" w:rsidRDefault="000B7017" w:rsidP="008E6BFD">
            <w:pPr>
              <w:rPr>
                <w:color w:val="000000"/>
              </w:rPr>
            </w:pPr>
            <w:r>
              <w:rPr>
                <w:noProof/>
                <w:color w:val="000000"/>
              </w:rPr>
              <w:drawing>
                <wp:inline distT="0" distB="0" distL="0" distR="0" wp14:anchorId="053F38CE" wp14:editId="3CEF805A">
                  <wp:extent cx="2971800" cy="21015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 monitor ma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1800" cy="2101533"/>
                          </a:xfrm>
                          <a:prstGeom prst="rect">
                            <a:avLst/>
                          </a:prstGeom>
                        </pic:spPr>
                      </pic:pic>
                    </a:graphicData>
                  </a:graphic>
                </wp:inline>
              </w:drawing>
            </w:r>
          </w:p>
        </w:tc>
      </w:tr>
    </w:tbl>
    <w:p w14:paraId="76C63199" w14:textId="44D6D4CF" w:rsidR="008E6BFD" w:rsidRDefault="008E6BFD" w:rsidP="00F5798E">
      <w:pPr>
        <w:pStyle w:val="Caption"/>
      </w:pPr>
      <w:bookmarkStart w:id="4" w:name="_Ref491244867"/>
      <w:r>
        <w:t xml:space="preserve">Table </w:t>
      </w:r>
      <w:fldSimple w:instr=" SEQ Table \* ARABIC ">
        <w:r>
          <w:rPr>
            <w:noProof/>
          </w:rPr>
          <w:t>2</w:t>
        </w:r>
      </w:fldSimple>
      <w:bookmarkEnd w:id="4"/>
      <w:r>
        <w:t>: 4</w:t>
      </w:r>
      <w:r w:rsidRPr="00F5798E">
        <w:rPr>
          <w:vertAlign w:val="superscript"/>
        </w:rPr>
        <w:t>th</w:t>
      </w:r>
      <w:r>
        <w:t xml:space="preserve"> Highest 8-hour Ozone Concentrations from 2013 - 2016</w:t>
      </w:r>
    </w:p>
    <w:tbl>
      <w:tblPr>
        <w:tblW w:w="9375" w:type="dxa"/>
        <w:tblInd w:w="-15" w:type="dxa"/>
        <w:tblCellMar>
          <w:left w:w="0" w:type="dxa"/>
          <w:right w:w="0" w:type="dxa"/>
        </w:tblCellMar>
        <w:tblLook w:val="04A0" w:firstRow="1" w:lastRow="0" w:firstColumn="1" w:lastColumn="0" w:noHBand="0" w:noVBand="1"/>
      </w:tblPr>
      <w:tblGrid>
        <w:gridCol w:w="801"/>
        <w:gridCol w:w="2612"/>
        <w:gridCol w:w="1026"/>
        <w:gridCol w:w="886"/>
        <w:gridCol w:w="720"/>
        <w:gridCol w:w="900"/>
        <w:gridCol w:w="825"/>
        <w:gridCol w:w="1605"/>
      </w:tblGrid>
      <w:tr w:rsidR="008E6BFD" w:rsidRPr="00873B6C" w14:paraId="4D024908" w14:textId="77777777" w:rsidTr="001B23C9">
        <w:trPr>
          <w:trHeight w:val="68"/>
        </w:trPr>
        <w:tc>
          <w:tcPr>
            <w:tcW w:w="801" w:type="dxa"/>
            <w:vMerge w:val="restart"/>
            <w:noWrap/>
            <w:tcMar>
              <w:top w:w="0" w:type="dxa"/>
              <w:left w:w="115" w:type="dxa"/>
              <w:bottom w:w="0" w:type="dxa"/>
              <w:right w:w="115" w:type="dxa"/>
            </w:tcMar>
            <w:vAlign w:val="bottom"/>
            <w:hideMark/>
          </w:tcPr>
          <w:p w14:paraId="40101B33" w14:textId="4389594B" w:rsidR="008E6BFD" w:rsidRPr="00873B6C" w:rsidRDefault="008E6BFD" w:rsidP="00873B6C">
            <w:pPr>
              <w:pStyle w:val="NoSpacing1"/>
              <w:rPr>
                <w:b/>
                <w:color w:val="000000"/>
                <w:sz w:val="16"/>
                <w:szCs w:val="16"/>
              </w:rPr>
            </w:pPr>
            <w:r w:rsidRPr="00873B6C">
              <w:rPr>
                <w:b/>
                <w:sz w:val="16"/>
                <w:szCs w:val="16"/>
              </w:rPr>
              <w:t>Agency</w:t>
            </w:r>
          </w:p>
        </w:tc>
        <w:tc>
          <w:tcPr>
            <w:tcW w:w="2612" w:type="dxa"/>
            <w:vMerge w:val="restart"/>
            <w:noWrap/>
            <w:tcMar>
              <w:top w:w="0" w:type="dxa"/>
              <w:left w:w="115" w:type="dxa"/>
              <w:bottom w:w="0" w:type="dxa"/>
              <w:right w:w="115" w:type="dxa"/>
            </w:tcMar>
            <w:vAlign w:val="bottom"/>
            <w:hideMark/>
          </w:tcPr>
          <w:p w14:paraId="44F042F4" w14:textId="72260302" w:rsidR="008E6BFD" w:rsidRPr="00873B6C" w:rsidRDefault="008E6BFD" w:rsidP="00873B6C">
            <w:pPr>
              <w:pStyle w:val="NoSpacing1"/>
              <w:rPr>
                <w:rFonts w:ascii="Times New Roman" w:eastAsia="Times New Roman" w:hAnsi="Times New Roman"/>
                <w:b/>
                <w:sz w:val="16"/>
                <w:szCs w:val="16"/>
              </w:rPr>
            </w:pPr>
            <w:r w:rsidRPr="00873B6C">
              <w:rPr>
                <w:b/>
                <w:sz w:val="16"/>
                <w:szCs w:val="16"/>
              </w:rPr>
              <w:t>Site Name</w:t>
            </w:r>
          </w:p>
        </w:tc>
        <w:tc>
          <w:tcPr>
            <w:tcW w:w="1026" w:type="dxa"/>
            <w:vMerge w:val="restart"/>
            <w:noWrap/>
            <w:tcMar>
              <w:top w:w="0" w:type="dxa"/>
              <w:left w:w="115" w:type="dxa"/>
              <w:bottom w:w="0" w:type="dxa"/>
              <w:right w:w="115" w:type="dxa"/>
            </w:tcMar>
            <w:vAlign w:val="bottom"/>
            <w:hideMark/>
          </w:tcPr>
          <w:p w14:paraId="504552CC" w14:textId="40B5146B" w:rsidR="008E6BFD" w:rsidRPr="00873B6C" w:rsidRDefault="008E6BFD" w:rsidP="00873B6C">
            <w:pPr>
              <w:pStyle w:val="NoSpacing1"/>
              <w:rPr>
                <w:rFonts w:ascii="Times New Roman" w:eastAsia="Times New Roman" w:hAnsi="Times New Roman"/>
                <w:b/>
                <w:sz w:val="16"/>
                <w:szCs w:val="16"/>
              </w:rPr>
            </w:pPr>
            <w:r w:rsidRPr="00873B6C">
              <w:rPr>
                <w:b/>
                <w:sz w:val="16"/>
                <w:szCs w:val="16"/>
              </w:rPr>
              <w:t>AQS Code</w:t>
            </w:r>
          </w:p>
        </w:tc>
        <w:tc>
          <w:tcPr>
            <w:tcW w:w="3331" w:type="dxa"/>
            <w:gridSpan w:val="4"/>
            <w:noWrap/>
            <w:tcMar>
              <w:top w:w="0" w:type="dxa"/>
              <w:left w:w="115" w:type="dxa"/>
              <w:bottom w:w="0" w:type="dxa"/>
              <w:right w:w="115" w:type="dxa"/>
            </w:tcMar>
            <w:vAlign w:val="bottom"/>
            <w:hideMark/>
          </w:tcPr>
          <w:p w14:paraId="0E8632E1" w14:textId="770AB115" w:rsidR="008E6BFD" w:rsidRPr="00873B6C" w:rsidRDefault="008E6BFD" w:rsidP="00873B6C">
            <w:pPr>
              <w:pStyle w:val="NoSpacing1"/>
              <w:rPr>
                <w:rFonts w:ascii="Calibri" w:eastAsiaTheme="minorHAnsi" w:hAnsi="Calibri"/>
                <w:b/>
                <w:sz w:val="16"/>
                <w:szCs w:val="16"/>
              </w:rPr>
            </w:pPr>
            <w:r w:rsidRPr="00873B6C">
              <w:rPr>
                <w:b/>
                <w:color w:val="000000"/>
                <w:sz w:val="16"/>
                <w:szCs w:val="16"/>
              </w:rPr>
              <w:t>4th Highest 8-hr Ozone Concentrations</w:t>
            </w:r>
          </w:p>
        </w:tc>
        <w:tc>
          <w:tcPr>
            <w:tcW w:w="1605" w:type="dxa"/>
            <w:vMerge w:val="restart"/>
            <w:noWrap/>
            <w:tcMar>
              <w:top w:w="0" w:type="dxa"/>
              <w:left w:w="115" w:type="dxa"/>
              <w:bottom w:w="0" w:type="dxa"/>
              <w:right w:w="115" w:type="dxa"/>
            </w:tcMar>
            <w:vAlign w:val="bottom"/>
            <w:hideMark/>
          </w:tcPr>
          <w:p w14:paraId="290F5A27" w14:textId="3FDC6FA9" w:rsidR="008E6BFD" w:rsidRPr="00873B6C" w:rsidRDefault="008E6BFD" w:rsidP="00873B6C">
            <w:pPr>
              <w:pStyle w:val="NoSpacing1"/>
              <w:rPr>
                <w:rFonts w:ascii="Times New Roman" w:eastAsia="Times New Roman" w:hAnsi="Times New Roman"/>
                <w:b/>
                <w:sz w:val="16"/>
                <w:szCs w:val="16"/>
              </w:rPr>
            </w:pPr>
            <w:r w:rsidRPr="00873B6C">
              <w:rPr>
                <w:b/>
                <w:color w:val="000000"/>
                <w:sz w:val="16"/>
                <w:szCs w:val="16"/>
              </w:rPr>
              <w:t>Average 2013-16 4th High</w:t>
            </w:r>
          </w:p>
        </w:tc>
      </w:tr>
      <w:tr w:rsidR="008E6BFD" w:rsidRPr="00873B6C" w14:paraId="3196B85F" w14:textId="77777777" w:rsidTr="001B23C9">
        <w:trPr>
          <w:trHeight w:val="38"/>
        </w:trPr>
        <w:tc>
          <w:tcPr>
            <w:tcW w:w="801" w:type="dxa"/>
            <w:vMerge/>
            <w:noWrap/>
            <w:tcMar>
              <w:top w:w="0" w:type="dxa"/>
              <w:left w:w="115" w:type="dxa"/>
              <w:bottom w:w="0" w:type="dxa"/>
              <w:right w:w="115" w:type="dxa"/>
            </w:tcMar>
            <w:vAlign w:val="bottom"/>
            <w:hideMark/>
          </w:tcPr>
          <w:p w14:paraId="6BB8A0F4" w14:textId="0144B2BB" w:rsidR="008E6BFD" w:rsidRPr="00873B6C" w:rsidRDefault="008E6BFD" w:rsidP="00873B6C">
            <w:pPr>
              <w:pStyle w:val="NoSpacing1"/>
              <w:rPr>
                <w:rFonts w:ascii="Calibri" w:eastAsiaTheme="minorHAnsi" w:hAnsi="Calibri"/>
                <w:b/>
                <w:sz w:val="16"/>
                <w:szCs w:val="16"/>
              </w:rPr>
            </w:pPr>
          </w:p>
        </w:tc>
        <w:tc>
          <w:tcPr>
            <w:tcW w:w="2612" w:type="dxa"/>
            <w:vMerge/>
            <w:noWrap/>
            <w:tcMar>
              <w:top w:w="0" w:type="dxa"/>
              <w:left w:w="115" w:type="dxa"/>
              <w:bottom w:w="0" w:type="dxa"/>
              <w:right w:w="115" w:type="dxa"/>
            </w:tcMar>
            <w:vAlign w:val="bottom"/>
            <w:hideMark/>
          </w:tcPr>
          <w:p w14:paraId="2503A3CF" w14:textId="63F2BC13" w:rsidR="008E6BFD" w:rsidRPr="00873B6C" w:rsidRDefault="008E6BFD" w:rsidP="00873B6C">
            <w:pPr>
              <w:pStyle w:val="NoSpacing1"/>
              <w:rPr>
                <w:b/>
                <w:sz w:val="16"/>
                <w:szCs w:val="16"/>
              </w:rPr>
            </w:pPr>
          </w:p>
        </w:tc>
        <w:tc>
          <w:tcPr>
            <w:tcW w:w="1026" w:type="dxa"/>
            <w:vMerge/>
            <w:noWrap/>
            <w:tcMar>
              <w:top w:w="0" w:type="dxa"/>
              <w:left w:w="115" w:type="dxa"/>
              <w:bottom w:w="0" w:type="dxa"/>
              <w:right w:w="115" w:type="dxa"/>
            </w:tcMar>
            <w:vAlign w:val="bottom"/>
            <w:hideMark/>
          </w:tcPr>
          <w:p w14:paraId="17AFF6B9" w14:textId="3C8E7897" w:rsidR="008E6BFD" w:rsidRPr="00873B6C" w:rsidRDefault="008E6BFD" w:rsidP="00873B6C">
            <w:pPr>
              <w:pStyle w:val="NoSpacing1"/>
              <w:rPr>
                <w:b/>
                <w:sz w:val="16"/>
                <w:szCs w:val="16"/>
              </w:rPr>
            </w:pPr>
          </w:p>
        </w:tc>
        <w:tc>
          <w:tcPr>
            <w:tcW w:w="886" w:type="dxa"/>
            <w:noWrap/>
            <w:tcMar>
              <w:top w:w="0" w:type="dxa"/>
              <w:left w:w="115" w:type="dxa"/>
              <w:bottom w:w="0" w:type="dxa"/>
              <w:right w:w="115" w:type="dxa"/>
            </w:tcMar>
            <w:vAlign w:val="bottom"/>
            <w:hideMark/>
          </w:tcPr>
          <w:p w14:paraId="5498C55D" w14:textId="77777777" w:rsidR="008E6BFD" w:rsidRPr="00873B6C" w:rsidRDefault="008E6BFD" w:rsidP="00873B6C">
            <w:pPr>
              <w:pStyle w:val="NoSpacing1"/>
              <w:rPr>
                <w:b/>
                <w:sz w:val="16"/>
                <w:szCs w:val="16"/>
              </w:rPr>
            </w:pPr>
            <w:r w:rsidRPr="00873B6C">
              <w:rPr>
                <w:b/>
                <w:sz w:val="16"/>
                <w:szCs w:val="16"/>
              </w:rPr>
              <w:t>2013</w:t>
            </w:r>
          </w:p>
        </w:tc>
        <w:tc>
          <w:tcPr>
            <w:tcW w:w="720" w:type="dxa"/>
            <w:tcBorders>
              <w:top w:val="single" w:sz="12" w:space="0" w:color="auto"/>
              <w:left w:val="nil"/>
              <w:bottom w:val="nil"/>
              <w:right w:val="nil"/>
            </w:tcBorders>
            <w:noWrap/>
            <w:tcMar>
              <w:top w:w="0" w:type="dxa"/>
              <w:left w:w="115" w:type="dxa"/>
              <w:bottom w:w="0" w:type="dxa"/>
              <w:right w:w="115" w:type="dxa"/>
            </w:tcMar>
            <w:vAlign w:val="bottom"/>
            <w:hideMark/>
          </w:tcPr>
          <w:p w14:paraId="03D8566F" w14:textId="77777777" w:rsidR="008E6BFD" w:rsidRPr="00873B6C" w:rsidRDefault="008E6BFD" w:rsidP="00873B6C">
            <w:pPr>
              <w:pStyle w:val="NoSpacing1"/>
              <w:rPr>
                <w:b/>
                <w:sz w:val="16"/>
                <w:szCs w:val="16"/>
              </w:rPr>
            </w:pPr>
            <w:r w:rsidRPr="00873B6C">
              <w:rPr>
                <w:b/>
                <w:sz w:val="16"/>
                <w:szCs w:val="16"/>
              </w:rPr>
              <w:t>2014</w:t>
            </w:r>
          </w:p>
        </w:tc>
        <w:tc>
          <w:tcPr>
            <w:tcW w:w="900" w:type="dxa"/>
            <w:tcBorders>
              <w:top w:val="single" w:sz="12" w:space="0" w:color="auto"/>
              <w:left w:val="nil"/>
              <w:bottom w:val="nil"/>
              <w:right w:val="nil"/>
            </w:tcBorders>
            <w:noWrap/>
            <w:tcMar>
              <w:top w:w="0" w:type="dxa"/>
              <w:left w:w="115" w:type="dxa"/>
              <w:bottom w:w="0" w:type="dxa"/>
              <w:right w:w="115" w:type="dxa"/>
            </w:tcMar>
            <w:vAlign w:val="bottom"/>
            <w:hideMark/>
          </w:tcPr>
          <w:p w14:paraId="1D78850B" w14:textId="77777777" w:rsidR="008E6BFD" w:rsidRPr="00873B6C" w:rsidRDefault="008E6BFD" w:rsidP="00873B6C">
            <w:pPr>
              <w:pStyle w:val="NoSpacing1"/>
              <w:rPr>
                <w:b/>
                <w:sz w:val="16"/>
                <w:szCs w:val="16"/>
              </w:rPr>
            </w:pPr>
            <w:r w:rsidRPr="00873B6C">
              <w:rPr>
                <w:b/>
                <w:sz w:val="16"/>
                <w:szCs w:val="16"/>
              </w:rPr>
              <w:t>2015</w:t>
            </w:r>
          </w:p>
        </w:tc>
        <w:tc>
          <w:tcPr>
            <w:tcW w:w="825" w:type="dxa"/>
            <w:tcBorders>
              <w:top w:val="single" w:sz="12" w:space="0" w:color="auto"/>
              <w:left w:val="nil"/>
              <w:bottom w:val="nil"/>
              <w:right w:val="nil"/>
            </w:tcBorders>
            <w:noWrap/>
            <w:tcMar>
              <w:top w:w="0" w:type="dxa"/>
              <w:left w:w="115" w:type="dxa"/>
              <w:bottom w:w="0" w:type="dxa"/>
              <w:right w:w="115" w:type="dxa"/>
            </w:tcMar>
            <w:vAlign w:val="bottom"/>
            <w:hideMark/>
          </w:tcPr>
          <w:p w14:paraId="3394AA9F" w14:textId="77777777" w:rsidR="008E6BFD" w:rsidRPr="00873B6C" w:rsidRDefault="008E6BFD" w:rsidP="00873B6C">
            <w:pPr>
              <w:pStyle w:val="NoSpacing1"/>
              <w:rPr>
                <w:b/>
                <w:sz w:val="16"/>
                <w:szCs w:val="16"/>
              </w:rPr>
            </w:pPr>
            <w:r w:rsidRPr="00873B6C">
              <w:rPr>
                <w:b/>
                <w:sz w:val="16"/>
                <w:szCs w:val="16"/>
              </w:rPr>
              <w:t>2016</w:t>
            </w:r>
          </w:p>
        </w:tc>
        <w:tc>
          <w:tcPr>
            <w:tcW w:w="1605" w:type="dxa"/>
            <w:vMerge/>
            <w:noWrap/>
            <w:tcMar>
              <w:top w:w="0" w:type="dxa"/>
              <w:left w:w="115" w:type="dxa"/>
              <w:bottom w:w="0" w:type="dxa"/>
              <w:right w:w="115" w:type="dxa"/>
            </w:tcMar>
            <w:vAlign w:val="bottom"/>
            <w:hideMark/>
          </w:tcPr>
          <w:p w14:paraId="013D8EAA" w14:textId="22F82D3E" w:rsidR="008E6BFD" w:rsidRPr="00873B6C" w:rsidRDefault="008E6BFD" w:rsidP="00873B6C">
            <w:pPr>
              <w:pStyle w:val="NoSpacing1"/>
              <w:rPr>
                <w:rFonts w:ascii="Calibri" w:eastAsiaTheme="minorHAnsi" w:hAnsi="Calibri"/>
                <w:b/>
                <w:sz w:val="16"/>
                <w:szCs w:val="16"/>
              </w:rPr>
            </w:pPr>
          </w:p>
        </w:tc>
      </w:tr>
      <w:tr w:rsidR="008E6BFD" w14:paraId="2F0C8C0C" w14:textId="77777777" w:rsidTr="001B23C9">
        <w:trPr>
          <w:trHeight w:val="43"/>
        </w:trPr>
        <w:tc>
          <w:tcPr>
            <w:tcW w:w="801" w:type="dxa"/>
            <w:noWrap/>
            <w:tcMar>
              <w:top w:w="0" w:type="dxa"/>
              <w:left w:w="115" w:type="dxa"/>
              <w:bottom w:w="0" w:type="dxa"/>
              <w:right w:w="115" w:type="dxa"/>
            </w:tcMar>
            <w:vAlign w:val="bottom"/>
            <w:hideMark/>
          </w:tcPr>
          <w:p w14:paraId="7E2BD938" w14:textId="77777777" w:rsidR="008E6BFD" w:rsidRPr="00873B6C" w:rsidRDefault="008E6BFD" w:rsidP="00873B6C">
            <w:pPr>
              <w:pStyle w:val="NoSpacing1"/>
              <w:rPr>
                <w:sz w:val="16"/>
                <w:szCs w:val="16"/>
              </w:rPr>
            </w:pPr>
            <w:r w:rsidRPr="00873B6C">
              <w:rPr>
                <w:sz w:val="16"/>
                <w:szCs w:val="16"/>
              </w:rPr>
              <w:t>CT</w:t>
            </w:r>
          </w:p>
        </w:tc>
        <w:tc>
          <w:tcPr>
            <w:tcW w:w="2612" w:type="dxa"/>
            <w:noWrap/>
            <w:tcMar>
              <w:top w:w="0" w:type="dxa"/>
              <w:left w:w="115" w:type="dxa"/>
              <w:bottom w:w="0" w:type="dxa"/>
              <w:right w:w="115" w:type="dxa"/>
            </w:tcMar>
            <w:vAlign w:val="bottom"/>
            <w:hideMark/>
          </w:tcPr>
          <w:p w14:paraId="73393456" w14:textId="77777777" w:rsidR="008E6BFD" w:rsidRPr="00873B6C" w:rsidRDefault="008E6BFD" w:rsidP="00873B6C">
            <w:pPr>
              <w:pStyle w:val="NoSpacing1"/>
              <w:rPr>
                <w:sz w:val="16"/>
                <w:szCs w:val="16"/>
              </w:rPr>
            </w:pPr>
            <w:r w:rsidRPr="00873B6C">
              <w:rPr>
                <w:sz w:val="16"/>
                <w:szCs w:val="16"/>
              </w:rPr>
              <w:t>Westport</w:t>
            </w:r>
          </w:p>
        </w:tc>
        <w:tc>
          <w:tcPr>
            <w:tcW w:w="1026" w:type="dxa"/>
            <w:noWrap/>
            <w:tcMar>
              <w:top w:w="0" w:type="dxa"/>
              <w:left w:w="115" w:type="dxa"/>
              <w:bottom w:w="0" w:type="dxa"/>
              <w:right w:w="115" w:type="dxa"/>
            </w:tcMar>
            <w:vAlign w:val="bottom"/>
            <w:hideMark/>
          </w:tcPr>
          <w:p w14:paraId="7499BA8E" w14:textId="77777777" w:rsidR="008E6BFD" w:rsidRPr="00873B6C" w:rsidRDefault="008E6BFD" w:rsidP="00873B6C">
            <w:pPr>
              <w:pStyle w:val="NoSpacing1"/>
              <w:rPr>
                <w:sz w:val="16"/>
                <w:szCs w:val="16"/>
              </w:rPr>
            </w:pPr>
            <w:r w:rsidRPr="00873B6C">
              <w:rPr>
                <w:sz w:val="16"/>
                <w:szCs w:val="16"/>
              </w:rPr>
              <w:t>90019003</w:t>
            </w:r>
          </w:p>
        </w:tc>
        <w:tc>
          <w:tcPr>
            <w:tcW w:w="886" w:type="dxa"/>
            <w:tcBorders>
              <w:top w:val="single" w:sz="8" w:space="0" w:color="auto"/>
              <w:left w:val="single" w:sz="8" w:space="0" w:color="auto"/>
              <w:bottom w:val="single" w:sz="8" w:space="0" w:color="auto"/>
              <w:right w:val="single" w:sz="8" w:space="0" w:color="auto"/>
            </w:tcBorders>
            <w:shd w:val="clear" w:color="auto" w:fill="FF0000"/>
            <w:noWrap/>
            <w:tcMar>
              <w:top w:w="0" w:type="dxa"/>
              <w:left w:w="115" w:type="dxa"/>
              <w:bottom w:w="0" w:type="dxa"/>
              <w:right w:w="115" w:type="dxa"/>
            </w:tcMar>
            <w:vAlign w:val="bottom"/>
            <w:hideMark/>
          </w:tcPr>
          <w:p w14:paraId="4896C868" w14:textId="77777777" w:rsidR="008E6BFD" w:rsidRPr="00873B6C" w:rsidRDefault="008E6BFD" w:rsidP="00873B6C">
            <w:pPr>
              <w:pStyle w:val="NoSpacing1"/>
              <w:rPr>
                <w:sz w:val="16"/>
                <w:szCs w:val="16"/>
              </w:rPr>
            </w:pPr>
            <w:r w:rsidRPr="00873B6C">
              <w:rPr>
                <w:color w:val="FFFFFF"/>
                <w:sz w:val="16"/>
                <w:szCs w:val="16"/>
              </w:rPr>
              <w:t>86</w:t>
            </w:r>
          </w:p>
        </w:tc>
        <w:tc>
          <w:tcPr>
            <w:tcW w:w="720" w:type="dxa"/>
            <w:tcBorders>
              <w:top w:val="single" w:sz="8" w:space="0" w:color="auto"/>
              <w:left w:val="nil"/>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5B930A22" w14:textId="77777777" w:rsidR="008E6BFD" w:rsidRPr="00873B6C" w:rsidRDefault="008E6BFD" w:rsidP="00873B6C">
            <w:pPr>
              <w:pStyle w:val="NoSpacing1"/>
              <w:rPr>
                <w:sz w:val="16"/>
                <w:szCs w:val="16"/>
              </w:rPr>
            </w:pPr>
            <w:r w:rsidRPr="00873B6C">
              <w:rPr>
                <w:sz w:val="16"/>
                <w:szCs w:val="16"/>
              </w:rPr>
              <w:t>81</w:t>
            </w:r>
          </w:p>
        </w:tc>
        <w:tc>
          <w:tcPr>
            <w:tcW w:w="900" w:type="dxa"/>
            <w:tcBorders>
              <w:top w:val="single" w:sz="8" w:space="0" w:color="auto"/>
              <w:left w:val="nil"/>
              <w:bottom w:val="single" w:sz="8" w:space="0" w:color="auto"/>
              <w:right w:val="single" w:sz="8" w:space="0" w:color="auto"/>
            </w:tcBorders>
            <w:shd w:val="clear" w:color="auto" w:fill="FF0000"/>
            <w:noWrap/>
            <w:tcMar>
              <w:top w:w="0" w:type="dxa"/>
              <w:left w:w="115" w:type="dxa"/>
              <w:bottom w:w="0" w:type="dxa"/>
              <w:right w:w="115" w:type="dxa"/>
            </w:tcMar>
            <w:vAlign w:val="bottom"/>
            <w:hideMark/>
          </w:tcPr>
          <w:p w14:paraId="32F897B7" w14:textId="77777777" w:rsidR="008E6BFD" w:rsidRPr="00873B6C" w:rsidRDefault="008E6BFD" w:rsidP="00873B6C">
            <w:pPr>
              <w:pStyle w:val="NoSpacing1"/>
              <w:rPr>
                <w:sz w:val="16"/>
                <w:szCs w:val="16"/>
              </w:rPr>
            </w:pPr>
            <w:r w:rsidRPr="00873B6C">
              <w:rPr>
                <w:i/>
                <w:iCs/>
                <w:color w:val="FFFFFF"/>
                <w:sz w:val="16"/>
                <w:szCs w:val="16"/>
              </w:rPr>
              <w:t>87</w:t>
            </w:r>
          </w:p>
        </w:tc>
        <w:tc>
          <w:tcPr>
            <w:tcW w:w="825" w:type="dxa"/>
            <w:tcBorders>
              <w:top w:val="single" w:sz="8" w:space="0" w:color="auto"/>
              <w:left w:val="nil"/>
              <w:bottom w:val="single" w:sz="8" w:space="0" w:color="auto"/>
              <w:right w:val="single" w:sz="8" w:space="0" w:color="auto"/>
            </w:tcBorders>
            <w:shd w:val="clear" w:color="auto" w:fill="FF0000"/>
            <w:noWrap/>
            <w:tcMar>
              <w:top w:w="0" w:type="dxa"/>
              <w:left w:w="115" w:type="dxa"/>
              <w:bottom w:w="0" w:type="dxa"/>
              <w:right w:w="115" w:type="dxa"/>
            </w:tcMar>
            <w:vAlign w:val="bottom"/>
            <w:hideMark/>
          </w:tcPr>
          <w:p w14:paraId="05E10766" w14:textId="77777777" w:rsidR="008E6BFD" w:rsidRPr="00873B6C" w:rsidRDefault="008E6BFD" w:rsidP="00873B6C">
            <w:pPr>
              <w:pStyle w:val="NoSpacing1"/>
              <w:rPr>
                <w:sz w:val="16"/>
                <w:szCs w:val="16"/>
              </w:rPr>
            </w:pPr>
            <w:r w:rsidRPr="00873B6C">
              <w:rPr>
                <w:i/>
                <w:iCs/>
                <w:color w:val="FFFFFF"/>
                <w:sz w:val="16"/>
                <w:szCs w:val="16"/>
              </w:rPr>
              <w:t>87</w:t>
            </w:r>
          </w:p>
        </w:tc>
        <w:tc>
          <w:tcPr>
            <w:tcW w:w="1605" w:type="dxa"/>
            <w:noWrap/>
            <w:tcMar>
              <w:top w:w="0" w:type="dxa"/>
              <w:left w:w="115" w:type="dxa"/>
              <w:bottom w:w="0" w:type="dxa"/>
              <w:right w:w="115" w:type="dxa"/>
            </w:tcMar>
            <w:vAlign w:val="bottom"/>
            <w:hideMark/>
          </w:tcPr>
          <w:p w14:paraId="14342217" w14:textId="77777777" w:rsidR="008E6BFD" w:rsidRPr="00873B6C" w:rsidRDefault="008E6BFD" w:rsidP="00873B6C">
            <w:pPr>
              <w:pStyle w:val="NoSpacing1"/>
              <w:rPr>
                <w:rFonts w:ascii="Calibri" w:eastAsiaTheme="minorHAnsi" w:hAnsi="Calibri"/>
                <w:sz w:val="16"/>
                <w:szCs w:val="16"/>
              </w:rPr>
            </w:pPr>
            <w:r w:rsidRPr="00873B6C">
              <w:rPr>
                <w:color w:val="000000"/>
                <w:sz w:val="16"/>
                <w:szCs w:val="16"/>
              </w:rPr>
              <w:t>85</w:t>
            </w:r>
          </w:p>
        </w:tc>
      </w:tr>
      <w:tr w:rsidR="008E6BFD" w14:paraId="245783E8" w14:textId="77777777" w:rsidTr="001B23C9">
        <w:trPr>
          <w:trHeight w:val="43"/>
        </w:trPr>
        <w:tc>
          <w:tcPr>
            <w:tcW w:w="801" w:type="dxa"/>
            <w:noWrap/>
            <w:tcMar>
              <w:top w:w="0" w:type="dxa"/>
              <w:left w:w="115" w:type="dxa"/>
              <w:bottom w:w="0" w:type="dxa"/>
              <w:right w:w="115" w:type="dxa"/>
            </w:tcMar>
            <w:vAlign w:val="bottom"/>
            <w:hideMark/>
          </w:tcPr>
          <w:p w14:paraId="0F656AF9" w14:textId="77777777" w:rsidR="008E6BFD" w:rsidRPr="00873B6C" w:rsidRDefault="008E6BFD" w:rsidP="00873B6C">
            <w:pPr>
              <w:pStyle w:val="NoSpacing1"/>
              <w:rPr>
                <w:sz w:val="16"/>
                <w:szCs w:val="16"/>
              </w:rPr>
            </w:pPr>
            <w:r w:rsidRPr="00873B6C">
              <w:rPr>
                <w:sz w:val="16"/>
                <w:szCs w:val="16"/>
              </w:rPr>
              <w:t>CT</w:t>
            </w:r>
          </w:p>
        </w:tc>
        <w:tc>
          <w:tcPr>
            <w:tcW w:w="2612" w:type="dxa"/>
            <w:noWrap/>
            <w:tcMar>
              <w:top w:w="0" w:type="dxa"/>
              <w:left w:w="115" w:type="dxa"/>
              <w:bottom w:w="0" w:type="dxa"/>
              <w:right w:w="115" w:type="dxa"/>
            </w:tcMar>
            <w:vAlign w:val="bottom"/>
            <w:hideMark/>
          </w:tcPr>
          <w:p w14:paraId="40C5984A" w14:textId="77777777" w:rsidR="008E6BFD" w:rsidRPr="00873B6C" w:rsidRDefault="008E6BFD" w:rsidP="00873B6C">
            <w:pPr>
              <w:pStyle w:val="NoSpacing1"/>
              <w:rPr>
                <w:sz w:val="16"/>
                <w:szCs w:val="16"/>
              </w:rPr>
            </w:pPr>
            <w:r w:rsidRPr="00873B6C">
              <w:rPr>
                <w:sz w:val="16"/>
                <w:szCs w:val="16"/>
              </w:rPr>
              <w:t>Stratford</w:t>
            </w:r>
          </w:p>
        </w:tc>
        <w:tc>
          <w:tcPr>
            <w:tcW w:w="1026" w:type="dxa"/>
            <w:noWrap/>
            <w:tcMar>
              <w:top w:w="0" w:type="dxa"/>
              <w:left w:w="115" w:type="dxa"/>
              <w:bottom w:w="0" w:type="dxa"/>
              <w:right w:w="115" w:type="dxa"/>
            </w:tcMar>
            <w:vAlign w:val="bottom"/>
            <w:hideMark/>
          </w:tcPr>
          <w:p w14:paraId="777033CF" w14:textId="77777777" w:rsidR="008E6BFD" w:rsidRPr="00873B6C" w:rsidRDefault="008E6BFD" w:rsidP="00873B6C">
            <w:pPr>
              <w:pStyle w:val="NoSpacing1"/>
              <w:rPr>
                <w:sz w:val="16"/>
                <w:szCs w:val="16"/>
              </w:rPr>
            </w:pPr>
            <w:r w:rsidRPr="00873B6C">
              <w:rPr>
                <w:sz w:val="16"/>
                <w:szCs w:val="16"/>
              </w:rPr>
              <w:t>90013007</w:t>
            </w:r>
          </w:p>
        </w:tc>
        <w:tc>
          <w:tcPr>
            <w:tcW w:w="886" w:type="dxa"/>
            <w:tcBorders>
              <w:top w:val="nil"/>
              <w:left w:val="single" w:sz="8" w:space="0" w:color="auto"/>
              <w:bottom w:val="single" w:sz="8" w:space="0" w:color="auto"/>
              <w:right w:val="single" w:sz="8" w:space="0" w:color="auto"/>
            </w:tcBorders>
            <w:shd w:val="clear" w:color="auto" w:fill="FF0000"/>
            <w:noWrap/>
            <w:tcMar>
              <w:top w:w="0" w:type="dxa"/>
              <w:left w:w="115" w:type="dxa"/>
              <w:bottom w:w="0" w:type="dxa"/>
              <w:right w:w="115" w:type="dxa"/>
            </w:tcMar>
            <w:vAlign w:val="bottom"/>
            <w:hideMark/>
          </w:tcPr>
          <w:p w14:paraId="26807FBE" w14:textId="77777777" w:rsidR="008E6BFD" w:rsidRPr="00873B6C" w:rsidRDefault="008E6BFD" w:rsidP="00873B6C">
            <w:pPr>
              <w:pStyle w:val="NoSpacing1"/>
              <w:rPr>
                <w:sz w:val="16"/>
                <w:szCs w:val="16"/>
              </w:rPr>
            </w:pPr>
            <w:r w:rsidRPr="00873B6C">
              <w:rPr>
                <w:color w:val="FFFFFF"/>
                <w:sz w:val="16"/>
                <w:szCs w:val="16"/>
              </w:rPr>
              <w:t>90</w:t>
            </w:r>
          </w:p>
        </w:tc>
        <w:tc>
          <w:tcPr>
            <w:tcW w:w="720" w:type="dxa"/>
            <w:tcBorders>
              <w:top w:val="nil"/>
              <w:left w:val="nil"/>
              <w:bottom w:val="single" w:sz="8" w:space="0" w:color="auto"/>
              <w:right w:val="single" w:sz="8" w:space="0" w:color="auto"/>
            </w:tcBorders>
            <w:shd w:val="clear" w:color="auto" w:fill="FFC000"/>
            <w:noWrap/>
            <w:tcMar>
              <w:top w:w="0" w:type="dxa"/>
              <w:left w:w="115" w:type="dxa"/>
              <w:bottom w:w="0" w:type="dxa"/>
              <w:right w:w="115" w:type="dxa"/>
            </w:tcMar>
            <w:vAlign w:val="bottom"/>
            <w:hideMark/>
          </w:tcPr>
          <w:p w14:paraId="2AB15319" w14:textId="77777777" w:rsidR="008E6BFD" w:rsidRPr="00873B6C" w:rsidRDefault="008E6BFD" w:rsidP="00873B6C">
            <w:pPr>
              <w:pStyle w:val="NoSpacing1"/>
              <w:rPr>
                <w:sz w:val="16"/>
                <w:szCs w:val="16"/>
              </w:rPr>
            </w:pPr>
            <w:r w:rsidRPr="00873B6C">
              <w:rPr>
                <w:sz w:val="16"/>
                <w:szCs w:val="16"/>
              </w:rPr>
              <w:t>74</w:t>
            </w:r>
          </w:p>
        </w:tc>
        <w:tc>
          <w:tcPr>
            <w:tcW w:w="900" w:type="dxa"/>
            <w:tcBorders>
              <w:top w:val="nil"/>
              <w:left w:val="nil"/>
              <w:bottom w:val="single" w:sz="8" w:space="0" w:color="auto"/>
              <w:right w:val="single" w:sz="8" w:space="0" w:color="auto"/>
            </w:tcBorders>
            <w:shd w:val="clear" w:color="auto" w:fill="FF0000"/>
            <w:noWrap/>
            <w:tcMar>
              <w:top w:w="0" w:type="dxa"/>
              <w:left w:w="115" w:type="dxa"/>
              <w:bottom w:w="0" w:type="dxa"/>
              <w:right w:w="115" w:type="dxa"/>
            </w:tcMar>
            <w:vAlign w:val="bottom"/>
            <w:hideMark/>
          </w:tcPr>
          <w:p w14:paraId="6FCDACF6" w14:textId="77777777" w:rsidR="008E6BFD" w:rsidRPr="00873B6C" w:rsidRDefault="008E6BFD" w:rsidP="00873B6C">
            <w:pPr>
              <w:pStyle w:val="NoSpacing1"/>
              <w:rPr>
                <w:sz w:val="16"/>
                <w:szCs w:val="16"/>
              </w:rPr>
            </w:pPr>
            <w:r w:rsidRPr="00873B6C">
              <w:rPr>
                <w:color w:val="FFFFFF"/>
                <w:sz w:val="16"/>
                <w:szCs w:val="16"/>
              </w:rPr>
              <w:t>86</w:t>
            </w:r>
          </w:p>
        </w:tc>
        <w:tc>
          <w:tcPr>
            <w:tcW w:w="825" w:type="dxa"/>
            <w:tcBorders>
              <w:top w:val="nil"/>
              <w:left w:val="nil"/>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40715320" w14:textId="77777777" w:rsidR="008E6BFD" w:rsidRPr="00873B6C" w:rsidRDefault="008E6BFD" w:rsidP="00873B6C">
            <w:pPr>
              <w:pStyle w:val="NoSpacing1"/>
              <w:rPr>
                <w:sz w:val="16"/>
                <w:szCs w:val="16"/>
              </w:rPr>
            </w:pPr>
            <w:r w:rsidRPr="00873B6C">
              <w:rPr>
                <w:i/>
                <w:iCs/>
                <w:sz w:val="16"/>
                <w:szCs w:val="16"/>
              </w:rPr>
              <w:t>83</w:t>
            </w:r>
          </w:p>
        </w:tc>
        <w:tc>
          <w:tcPr>
            <w:tcW w:w="1605" w:type="dxa"/>
            <w:noWrap/>
            <w:tcMar>
              <w:top w:w="0" w:type="dxa"/>
              <w:left w:w="115" w:type="dxa"/>
              <w:bottom w:w="0" w:type="dxa"/>
              <w:right w:w="115" w:type="dxa"/>
            </w:tcMar>
            <w:vAlign w:val="bottom"/>
            <w:hideMark/>
          </w:tcPr>
          <w:p w14:paraId="403DF7C8" w14:textId="77777777" w:rsidR="008E6BFD" w:rsidRPr="00873B6C" w:rsidRDefault="008E6BFD" w:rsidP="00873B6C">
            <w:pPr>
              <w:pStyle w:val="NoSpacing1"/>
              <w:rPr>
                <w:rFonts w:ascii="Calibri" w:eastAsiaTheme="minorHAnsi" w:hAnsi="Calibri"/>
                <w:sz w:val="16"/>
                <w:szCs w:val="16"/>
              </w:rPr>
            </w:pPr>
            <w:r w:rsidRPr="00873B6C">
              <w:rPr>
                <w:color w:val="000000"/>
                <w:sz w:val="16"/>
                <w:szCs w:val="16"/>
              </w:rPr>
              <w:t>83</w:t>
            </w:r>
          </w:p>
        </w:tc>
      </w:tr>
      <w:tr w:rsidR="008E6BFD" w14:paraId="12976025" w14:textId="77777777" w:rsidTr="001B23C9">
        <w:trPr>
          <w:trHeight w:val="43"/>
        </w:trPr>
        <w:tc>
          <w:tcPr>
            <w:tcW w:w="801" w:type="dxa"/>
            <w:noWrap/>
            <w:tcMar>
              <w:top w:w="0" w:type="dxa"/>
              <w:left w:w="115" w:type="dxa"/>
              <w:bottom w:w="0" w:type="dxa"/>
              <w:right w:w="115" w:type="dxa"/>
            </w:tcMar>
            <w:vAlign w:val="bottom"/>
            <w:hideMark/>
          </w:tcPr>
          <w:p w14:paraId="4C6C235D" w14:textId="77777777" w:rsidR="008E6BFD" w:rsidRPr="00873B6C" w:rsidRDefault="008E6BFD" w:rsidP="00873B6C">
            <w:pPr>
              <w:pStyle w:val="NoSpacing1"/>
              <w:rPr>
                <w:sz w:val="16"/>
                <w:szCs w:val="16"/>
              </w:rPr>
            </w:pPr>
            <w:r w:rsidRPr="00873B6C">
              <w:rPr>
                <w:sz w:val="16"/>
                <w:szCs w:val="16"/>
              </w:rPr>
              <w:t>CT</w:t>
            </w:r>
          </w:p>
        </w:tc>
        <w:tc>
          <w:tcPr>
            <w:tcW w:w="2612" w:type="dxa"/>
            <w:noWrap/>
            <w:tcMar>
              <w:top w:w="0" w:type="dxa"/>
              <w:left w:w="115" w:type="dxa"/>
              <w:bottom w:w="0" w:type="dxa"/>
              <w:right w:w="115" w:type="dxa"/>
            </w:tcMar>
            <w:vAlign w:val="bottom"/>
            <w:hideMark/>
          </w:tcPr>
          <w:p w14:paraId="6B957695" w14:textId="77777777" w:rsidR="008E6BFD" w:rsidRPr="00873B6C" w:rsidRDefault="008E6BFD" w:rsidP="00873B6C">
            <w:pPr>
              <w:pStyle w:val="NoSpacing1"/>
              <w:rPr>
                <w:sz w:val="16"/>
                <w:szCs w:val="16"/>
              </w:rPr>
            </w:pPr>
            <w:r w:rsidRPr="00873B6C">
              <w:rPr>
                <w:sz w:val="16"/>
                <w:szCs w:val="16"/>
              </w:rPr>
              <w:t>Greenwich</w:t>
            </w:r>
          </w:p>
        </w:tc>
        <w:tc>
          <w:tcPr>
            <w:tcW w:w="1026" w:type="dxa"/>
            <w:noWrap/>
            <w:tcMar>
              <w:top w:w="0" w:type="dxa"/>
              <w:left w:w="115" w:type="dxa"/>
              <w:bottom w:w="0" w:type="dxa"/>
              <w:right w:w="115" w:type="dxa"/>
            </w:tcMar>
            <w:vAlign w:val="bottom"/>
            <w:hideMark/>
          </w:tcPr>
          <w:p w14:paraId="5FF31D20" w14:textId="77777777" w:rsidR="008E6BFD" w:rsidRPr="00873B6C" w:rsidRDefault="008E6BFD" w:rsidP="00873B6C">
            <w:pPr>
              <w:pStyle w:val="NoSpacing1"/>
              <w:rPr>
                <w:sz w:val="16"/>
                <w:szCs w:val="16"/>
              </w:rPr>
            </w:pPr>
            <w:r w:rsidRPr="00873B6C">
              <w:rPr>
                <w:sz w:val="16"/>
                <w:szCs w:val="16"/>
              </w:rPr>
              <w:t>90010017</w:t>
            </w:r>
          </w:p>
        </w:tc>
        <w:tc>
          <w:tcPr>
            <w:tcW w:w="886" w:type="dxa"/>
            <w:tcBorders>
              <w:top w:val="nil"/>
              <w:left w:val="single" w:sz="8" w:space="0" w:color="auto"/>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0CB13D27" w14:textId="77777777" w:rsidR="008E6BFD" w:rsidRPr="00873B6C" w:rsidRDefault="008E6BFD" w:rsidP="00873B6C">
            <w:pPr>
              <w:pStyle w:val="NoSpacing1"/>
              <w:rPr>
                <w:sz w:val="16"/>
                <w:szCs w:val="16"/>
              </w:rPr>
            </w:pPr>
            <w:r w:rsidRPr="00873B6C">
              <w:rPr>
                <w:sz w:val="16"/>
                <w:szCs w:val="16"/>
              </w:rPr>
              <w:t>82</w:t>
            </w:r>
          </w:p>
        </w:tc>
        <w:tc>
          <w:tcPr>
            <w:tcW w:w="720" w:type="dxa"/>
            <w:tcBorders>
              <w:top w:val="nil"/>
              <w:left w:val="nil"/>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0683C38F" w14:textId="77777777" w:rsidR="008E6BFD" w:rsidRPr="00873B6C" w:rsidRDefault="008E6BFD" w:rsidP="00873B6C">
            <w:pPr>
              <w:pStyle w:val="NoSpacing1"/>
              <w:rPr>
                <w:sz w:val="16"/>
                <w:szCs w:val="16"/>
              </w:rPr>
            </w:pPr>
            <w:r w:rsidRPr="00873B6C">
              <w:rPr>
                <w:sz w:val="16"/>
                <w:szCs w:val="16"/>
              </w:rPr>
              <w:t>78</w:t>
            </w:r>
          </w:p>
        </w:tc>
        <w:tc>
          <w:tcPr>
            <w:tcW w:w="900" w:type="dxa"/>
            <w:tcBorders>
              <w:top w:val="nil"/>
              <w:left w:val="nil"/>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07F1F5E2" w14:textId="77777777" w:rsidR="008E6BFD" w:rsidRPr="00873B6C" w:rsidRDefault="008E6BFD" w:rsidP="00873B6C">
            <w:pPr>
              <w:pStyle w:val="NoSpacing1"/>
              <w:rPr>
                <w:sz w:val="16"/>
                <w:szCs w:val="16"/>
              </w:rPr>
            </w:pPr>
            <w:r w:rsidRPr="00873B6C">
              <w:rPr>
                <w:sz w:val="16"/>
                <w:szCs w:val="16"/>
              </w:rPr>
              <w:t>84</w:t>
            </w:r>
          </w:p>
        </w:tc>
        <w:tc>
          <w:tcPr>
            <w:tcW w:w="825" w:type="dxa"/>
            <w:tcBorders>
              <w:top w:val="nil"/>
              <w:left w:val="nil"/>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687283AA" w14:textId="77777777" w:rsidR="008E6BFD" w:rsidRPr="00873B6C" w:rsidRDefault="008E6BFD" w:rsidP="00873B6C">
            <w:pPr>
              <w:pStyle w:val="NoSpacing1"/>
              <w:rPr>
                <w:sz w:val="16"/>
                <w:szCs w:val="16"/>
              </w:rPr>
            </w:pPr>
            <w:r w:rsidRPr="00873B6C">
              <w:rPr>
                <w:i/>
                <w:iCs/>
                <w:sz w:val="16"/>
                <w:szCs w:val="16"/>
              </w:rPr>
              <w:t>79</w:t>
            </w:r>
          </w:p>
        </w:tc>
        <w:tc>
          <w:tcPr>
            <w:tcW w:w="1605" w:type="dxa"/>
            <w:noWrap/>
            <w:tcMar>
              <w:top w:w="0" w:type="dxa"/>
              <w:left w:w="115" w:type="dxa"/>
              <w:bottom w:w="0" w:type="dxa"/>
              <w:right w:w="115" w:type="dxa"/>
            </w:tcMar>
            <w:vAlign w:val="bottom"/>
            <w:hideMark/>
          </w:tcPr>
          <w:p w14:paraId="75B096D5" w14:textId="77777777" w:rsidR="008E6BFD" w:rsidRPr="00873B6C" w:rsidRDefault="008E6BFD" w:rsidP="00873B6C">
            <w:pPr>
              <w:pStyle w:val="NoSpacing1"/>
              <w:rPr>
                <w:rFonts w:ascii="Calibri" w:eastAsiaTheme="minorHAnsi" w:hAnsi="Calibri"/>
                <w:sz w:val="16"/>
                <w:szCs w:val="16"/>
              </w:rPr>
            </w:pPr>
            <w:r w:rsidRPr="00873B6C">
              <w:rPr>
                <w:color w:val="000000"/>
                <w:sz w:val="16"/>
                <w:szCs w:val="16"/>
              </w:rPr>
              <w:t>81</w:t>
            </w:r>
          </w:p>
        </w:tc>
      </w:tr>
      <w:tr w:rsidR="008E6BFD" w14:paraId="48A4DD05" w14:textId="77777777" w:rsidTr="001B23C9">
        <w:trPr>
          <w:trHeight w:val="43"/>
        </w:trPr>
        <w:tc>
          <w:tcPr>
            <w:tcW w:w="801" w:type="dxa"/>
            <w:noWrap/>
            <w:tcMar>
              <w:top w:w="0" w:type="dxa"/>
              <w:left w:w="115" w:type="dxa"/>
              <w:bottom w:w="0" w:type="dxa"/>
              <w:right w:w="115" w:type="dxa"/>
            </w:tcMar>
            <w:vAlign w:val="bottom"/>
            <w:hideMark/>
          </w:tcPr>
          <w:p w14:paraId="54501B2B" w14:textId="77777777" w:rsidR="008E6BFD" w:rsidRPr="00873B6C" w:rsidRDefault="008E6BFD" w:rsidP="00873B6C">
            <w:pPr>
              <w:pStyle w:val="NoSpacing1"/>
              <w:rPr>
                <w:sz w:val="16"/>
                <w:szCs w:val="16"/>
              </w:rPr>
            </w:pPr>
            <w:r w:rsidRPr="00873B6C">
              <w:rPr>
                <w:sz w:val="16"/>
                <w:szCs w:val="16"/>
              </w:rPr>
              <w:t>CT</w:t>
            </w:r>
          </w:p>
        </w:tc>
        <w:tc>
          <w:tcPr>
            <w:tcW w:w="2612" w:type="dxa"/>
            <w:noWrap/>
            <w:tcMar>
              <w:top w:w="0" w:type="dxa"/>
              <w:left w:w="115" w:type="dxa"/>
              <w:bottom w:w="0" w:type="dxa"/>
              <w:right w:w="115" w:type="dxa"/>
            </w:tcMar>
            <w:vAlign w:val="bottom"/>
            <w:hideMark/>
          </w:tcPr>
          <w:p w14:paraId="202F3583" w14:textId="77777777" w:rsidR="008E6BFD" w:rsidRPr="00873B6C" w:rsidRDefault="008E6BFD" w:rsidP="00873B6C">
            <w:pPr>
              <w:pStyle w:val="NoSpacing1"/>
              <w:rPr>
                <w:sz w:val="16"/>
                <w:szCs w:val="16"/>
              </w:rPr>
            </w:pPr>
            <w:r w:rsidRPr="00873B6C">
              <w:rPr>
                <w:sz w:val="16"/>
                <w:szCs w:val="16"/>
              </w:rPr>
              <w:t>Middletown</w:t>
            </w:r>
          </w:p>
        </w:tc>
        <w:tc>
          <w:tcPr>
            <w:tcW w:w="1026" w:type="dxa"/>
            <w:noWrap/>
            <w:tcMar>
              <w:top w:w="0" w:type="dxa"/>
              <w:left w:w="115" w:type="dxa"/>
              <w:bottom w:w="0" w:type="dxa"/>
              <w:right w:w="115" w:type="dxa"/>
            </w:tcMar>
            <w:vAlign w:val="bottom"/>
            <w:hideMark/>
          </w:tcPr>
          <w:p w14:paraId="4E24A3DA" w14:textId="77777777" w:rsidR="008E6BFD" w:rsidRPr="00873B6C" w:rsidRDefault="008E6BFD" w:rsidP="00873B6C">
            <w:pPr>
              <w:pStyle w:val="NoSpacing1"/>
              <w:rPr>
                <w:sz w:val="16"/>
                <w:szCs w:val="16"/>
              </w:rPr>
            </w:pPr>
            <w:r w:rsidRPr="00873B6C">
              <w:rPr>
                <w:sz w:val="16"/>
                <w:szCs w:val="16"/>
              </w:rPr>
              <w:t>90070007</w:t>
            </w:r>
          </w:p>
        </w:tc>
        <w:tc>
          <w:tcPr>
            <w:tcW w:w="886" w:type="dxa"/>
            <w:tcBorders>
              <w:top w:val="nil"/>
              <w:left w:val="single" w:sz="8" w:space="0" w:color="auto"/>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6EAEC40D" w14:textId="77777777" w:rsidR="008E6BFD" w:rsidRPr="00873B6C" w:rsidRDefault="008E6BFD" w:rsidP="00873B6C">
            <w:pPr>
              <w:pStyle w:val="NoSpacing1"/>
              <w:rPr>
                <w:sz w:val="16"/>
                <w:szCs w:val="16"/>
              </w:rPr>
            </w:pPr>
            <w:r w:rsidRPr="00873B6C">
              <w:rPr>
                <w:sz w:val="16"/>
                <w:szCs w:val="16"/>
              </w:rPr>
              <w:t>82</w:t>
            </w:r>
          </w:p>
        </w:tc>
        <w:tc>
          <w:tcPr>
            <w:tcW w:w="720" w:type="dxa"/>
            <w:tcBorders>
              <w:top w:val="nil"/>
              <w:left w:val="nil"/>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41A4091B" w14:textId="77777777" w:rsidR="008E6BFD" w:rsidRPr="00873B6C" w:rsidRDefault="008E6BFD" w:rsidP="00873B6C">
            <w:pPr>
              <w:pStyle w:val="NoSpacing1"/>
              <w:rPr>
                <w:sz w:val="16"/>
                <w:szCs w:val="16"/>
              </w:rPr>
            </w:pPr>
            <w:r w:rsidRPr="00873B6C">
              <w:rPr>
                <w:sz w:val="16"/>
                <w:szCs w:val="16"/>
              </w:rPr>
              <w:t>80</w:t>
            </w:r>
          </w:p>
        </w:tc>
        <w:tc>
          <w:tcPr>
            <w:tcW w:w="900" w:type="dxa"/>
            <w:tcBorders>
              <w:top w:val="nil"/>
              <w:left w:val="nil"/>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4CFE1751" w14:textId="77777777" w:rsidR="008E6BFD" w:rsidRPr="00873B6C" w:rsidRDefault="008E6BFD" w:rsidP="00873B6C">
            <w:pPr>
              <w:pStyle w:val="NoSpacing1"/>
              <w:rPr>
                <w:sz w:val="16"/>
                <w:szCs w:val="16"/>
              </w:rPr>
            </w:pPr>
            <w:r w:rsidRPr="00873B6C">
              <w:rPr>
                <w:sz w:val="16"/>
                <w:szCs w:val="16"/>
              </w:rPr>
              <w:t>78</w:t>
            </w:r>
          </w:p>
        </w:tc>
        <w:tc>
          <w:tcPr>
            <w:tcW w:w="825" w:type="dxa"/>
            <w:tcBorders>
              <w:top w:val="nil"/>
              <w:left w:val="nil"/>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4AD15558" w14:textId="77777777" w:rsidR="008E6BFD" w:rsidRPr="00873B6C" w:rsidRDefault="008E6BFD" w:rsidP="00873B6C">
            <w:pPr>
              <w:pStyle w:val="NoSpacing1"/>
              <w:rPr>
                <w:sz w:val="16"/>
                <w:szCs w:val="16"/>
              </w:rPr>
            </w:pPr>
            <w:r w:rsidRPr="00873B6C">
              <w:rPr>
                <w:i/>
                <w:iCs/>
                <w:sz w:val="16"/>
                <w:szCs w:val="16"/>
              </w:rPr>
              <w:t>80</w:t>
            </w:r>
          </w:p>
        </w:tc>
        <w:tc>
          <w:tcPr>
            <w:tcW w:w="1605" w:type="dxa"/>
            <w:noWrap/>
            <w:tcMar>
              <w:top w:w="0" w:type="dxa"/>
              <w:left w:w="115" w:type="dxa"/>
              <w:bottom w:w="0" w:type="dxa"/>
              <w:right w:w="115" w:type="dxa"/>
            </w:tcMar>
            <w:vAlign w:val="bottom"/>
            <w:hideMark/>
          </w:tcPr>
          <w:p w14:paraId="045EEC88" w14:textId="77777777" w:rsidR="008E6BFD" w:rsidRPr="00873B6C" w:rsidRDefault="008E6BFD" w:rsidP="00873B6C">
            <w:pPr>
              <w:pStyle w:val="NoSpacing1"/>
              <w:rPr>
                <w:rFonts w:ascii="Calibri" w:eastAsiaTheme="minorHAnsi" w:hAnsi="Calibri"/>
                <w:sz w:val="16"/>
                <w:szCs w:val="16"/>
              </w:rPr>
            </w:pPr>
            <w:r w:rsidRPr="00873B6C">
              <w:rPr>
                <w:color w:val="000000"/>
                <w:sz w:val="16"/>
                <w:szCs w:val="16"/>
              </w:rPr>
              <w:t>80</w:t>
            </w:r>
          </w:p>
        </w:tc>
      </w:tr>
      <w:tr w:rsidR="008E6BFD" w14:paraId="48417D73" w14:textId="77777777" w:rsidTr="001B23C9">
        <w:trPr>
          <w:trHeight w:val="43"/>
        </w:trPr>
        <w:tc>
          <w:tcPr>
            <w:tcW w:w="801" w:type="dxa"/>
            <w:noWrap/>
            <w:tcMar>
              <w:top w:w="0" w:type="dxa"/>
              <w:left w:w="115" w:type="dxa"/>
              <w:bottom w:w="0" w:type="dxa"/>
              <w:right w:w="115" w:type="dxa"/>
            </w:tcMar>
            <w:vAlign w:val="bottom"/>
            <w:hideMark/>
          </w:tcPr>
          <w:p w14:paraId="77BFEAD2" w14:textId="77777777" w:rsidR="008E6BFD" w:rsidRPr="00873B6C" w:rsidRDefault="008E6BFD" w:rsidP="00873B6C">
            <w:pPr>
              <w:pStyle w:val="NoSpacing1"/>
              <w:rPr>
                <w:sz w:val="16"/>
                <w:szCs w:val="16"/>
              </w:rPr>
            </w:pPr>
            <w:r w:rsidRPr="00873B6C">
              <w:rPr>
                <w:sz w:val="16"/>
                <w:szCs w:val="16"/>
              </w:rPr>
              <w:t>CT</w:t>
            </w:r>
          </w:p>
        </w:tc>
        <w:tc>
          <w:tcPr>
            <w:tcW w:w="2612" w:type="dxa"/>
            <w:noWrap/>
            <w:tcMar>
              <w:top w:w="0" w:type="dxa"/>
              <w:left w:w="115" w:type="dxa"/>
              <w:bottom w:w="0" w:type="dxa"/>
              <w:right w:w="115" w:type="dxa"/>
            </w:tcMar>
            <w:vAlign w:val="bottom"/>
            <w:hideMark/>
          </w:tcPr>
          <w:p w14:paraId="18A06A9C" w14:textId="77777777" w:rsidR="008E6BFD" w:rsidRPr="00873B6C" w:rsidRDefault="008E6BFD" w:rsidP="00873B6C">
            <w:pPr>
              <w:pStyle w:val="NoSpacing1"/>
              <w:rPr>
                <w:sz w:val="16"/>
                <w:szCs w:val="16"/>
              </w:rPr>
            </w:pPr>
            <w:r w:rsidRPr="00873B6C">
              <w:rPr>
                <w:sz w:val="16"/>
                <w:szCs w:val="16"/>
              </w:rPr>
              <w:t>Madison-combined (3002 9002)</w:t>
            </w:r>
          </w:p>
        </w:tc>
        <w:tc>
          <w:tcPr>
            <w:tcW w:w="1026" w:type="dxa"/>
            <w:noWrap/>
            <w:tcMar>
              <w:top w:w="0" w:type="dxa"/>
              <w:left w:w="115" w:type="dxa"/>
              <w:bottom w:w="0" w:type="dxa"/>
              <w:right w:w="115" w:type="dxa"/>
            </w:tcMar>
            <w:vAlign w:val="bottom"/>
            <w:hideMark/>
          </w:tcPr>
          <w:p w14:paraId="5D26A0F0" w14:textId="77777777" w:rsidR="008E6BFD" w:rsidRPr="00873B6C" w:rsidRDefault="008E6BFD" w:rsidP="00873B6C">
            <w:pPr>
              <w:pStyle w:val="NoSpacing1"/>
              <w:rPr>
                <w:sz w:val="16"/>
                <w:szCs w:val="16"/>
              </w:rPr>
            </w:pPr>
            <w:r w:rsidRPr="00873B6C">
              <w:rPr>
                <w:sz w:val="16"/>
                <w:szCs w:val="16"/>
              </w:rPr>
              <w:t>90099002</w:t>
            </w:r>
          </w:p>
        </w:tc>
        <w:tc>
          <w:tcPr>
            <w:tcW w:w="886" w:type="dxa"/>
            <w:tcBorders>
              <w:top w:val="nil"/>
              <w:left w:val="single" w:sz="8" w:space="0" w:color="auto"/>
              <w:bottom w:val="single" w:sz="8" w:space="0" w:color="auto"/>
              <w:right w:val="single" w:sz="8" w:space="0" w:color="auto"/>
            </w:tcBorders>
            <w:shd w:val="clear" w:color="auto" w:fill="FF0000"/>
            <w:noWrap/>
            <w:tcMar>
              <w:top w:w="0" w:type="dxa"/>
              <w:left w:w="115" w:type="dxa"/>
              <w:bottom w:w="0" w:type="dxa"/>
              <w:right w:w="115" w:type="dxa"/>
            </w:tcMar>
            <w:vAlign w:val="bottom"/>
            <w:hideMark/>
          </w:tcPr>
          <w:p w14:paraId="2DF8EEDB" w14:textId="77777777" w:rsidR="008E6BFD" w:rsidRPr="00873B6C" w:rsidRDefault="008E6BFD" w:rsidP="00873B6C">
            <w:pPr>
              <w:pStyle w:val="NoSpacing1"/>
              <w:rPr>
                <w:sz w:val="16"/>
                <w:szCs w:val="16"/>
              </w:rPr>
            </w:pPr>
            <w:r w:rsidRPr="00873B6C">
              <w:rPr>
                <w:color w:val="FFFFFF"/>
                <w:sz w:val="16"/>
                <w:szCs w:val="16"/>
              </w:rPr>
              <w:t>85</w:t>
            </w:r>
          </w:p>
        </w:tc>
        <w:tc>
          <w:tcPr>
            <w:tcW w:w="720" w:type="dxa"/>
            <w:tcBorders>
              <w:top w:val="nil"/>
              <w:left w:val="nil"/>
              <w:bottom w:val="single" w:sz="8" w:space="0" w:color="auto"/>
              <w:right w:val="single" w:sz="8" w:space="0" w:color="auto"/>
            </w:tcBorders>
            <w:noWrap/>
            <w:tcMar>
              <w:top w:w="0" w:type="dxa"/>
              <w:left w:w="115" w:type="dxa"/>
              <w:bottom w:w="0" w:type="dxa"/>
              <w:right w:w="115" w:type="dxa"/>
            </w:tcMar>
            <w:vAlign w:val="bottom"/>
            <w:hideMark/>
          </w:tcPr>
          <w:p w14:paraId="41F00EF7" w14:textId="77777777" w:rsidR="008E6BFD" w:rsidRPr="00873B6C" w:rsidRDefault="008E6BFD" w:rsidP="00873B6C">
            <w:pPr>
              <w:pStyle w:val="NoSpacing1"/>
              <w:rPr>
                <w:sz w:val="16"/>
                <w:szCs w:val="16"/>
              </w:rPr>
            </w:pPr>
            <w:r w:rsidRPr="00873B6C">
              <w:rPr>
                <w:sz w:val="16"/>
                <w:szCs w:val="16"/>
              </w:rPr>
              <w:t>69</w:t>
            </w:r>
          </w:p>
        </w:tc>
        <w:tc>
          <w:tcPr>
            <w:tcW w:w="900" w:type="dxa"/>
            <w:tcBorders>
              <w:top w:val="nil"/>
              <w:left w:val="nil"/>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317AF78B" w14:textId="77777777" w:rsidR="008E6BFD" w:rsidRPr="00873B6C" w:rsidRDefault="008E6BFD" w:rsidP="00873B6C">
            <w:pPr>
              <w:pStyle w:val="NoSpacing1"/>
              <w:rPr>
                <w:sz w:val="16"/>
                <w:szCs w:val="16"/>
              </w:rPr>
            </w:pPr>
            <w:r w:rsidRPr="00873B6C">
              <w:rPr>
                <w:sz w:val="16"/>
                <w:szCs w:val="16"/>
              </w:rPr>
              <w:t>81</w:t>
            </w:r>
          </w:p>
        </w:tc>
        <w:tc>
          <w:tcPr>
            <w:tcW w:w="825" w:type="dxa"/>
            <w:tcBorders>
              <w:top w:val="nil"/>
              <w:left w:val="nil"/>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557752DB" w14:textId="77777777" w:rsidR="008E6BFD" w:rsidRPr="00873B6C" w:rsidRDefault="008E6BFD" w:rsidP="00873B6C">
            <w:pPr>
              <w:pStyle w:val="NoSpacing1"/>
              <w:rPr>
                <w:sz w:val="16"/>
                <w:szCs w:val="16"/>
              </w:rPr>
            </w:pPr>
            <w:r w:rsidRPr="00873B6C">
              <w:rPr>
                <w:i/>
                <w:iCs/>
                <w:sz w:val="16"/>
                <w:szCs w:val="16"/>
              </w:rPr>
              <w:t>80</w:t>
            </w:r>
          </w:p>
        </w:tc>
        <w:tc>
          <w:tcPr>
            <w:tcW w:w="1605" w:type="dxa"/>
            <w:noWrap/>
            <w:tcMar>
              <w:top w:w="0" w:type="dxa"/>
              <w:left w:w="115" w:type="dxa"/>
              <w:bottom w:w="0" w:type="dxa"/>
              <w:right w:w="115" w:type="dxa"/>
            </w:tcMar>
            <w:vAlign w:val="bottom"/>
            <w:hideMark/>
          </w:tcPr>
          <w:p w14:paraId="2400A833" w14:textId="77777777" w:rsidR="008E6BFD" w:rsidRPr="00873B6C" w:rsidRDefault="008E6BFD" w:rsidP="00873B6C">
            <w:pPr>
              <w:pStyle w:val="NoSpacing1"/>
              <w:rPr>
                <w:rFonts w:ascii="Calibri" w:eastAsiaTheme="minorHAnsi" w:hAnsi="Calibri"/>
                <w:sz w:val="16"/>
                <w:szCs w:val="16"/>
              </w:rPr>
            </w:pPr>
            <w:r w:rsidRPr="00873B6C">
              <w:rPr>
                <w:color w:val="000000"/>
                <w:sz w:val="16"/>
                <w:szCs w:val="16"/>
              </w:rPr>
              <w:t>79</w:t>
            </w:r>
          </w:p>
        </w:tc>
      </w:tr>
      <w:tr w:rsidR="008E6BFD" w14:paraId="67DF4C1B" w14:textId="77777777" w:rsidTr="001B23C9">
        <w:trPr>
          <w:trHeight w:val="43"/>
        </w:trPr>
        <w:tc>
          <w:tcPr>
            <w:tcW w:w="801" w:type="dxa"/>
            <w:noWrap/>
            <w:tcMar>
              <w:top w:w="0" w:type="dxa"/>
              <w:left w:w="115" w:type="dxa"/>
              <w:bottom w:w="0" w:type="dxa"/>
              <w:right w:w="115" w:type="dxa"/>
            </w:tcMar>
            <w:vAlign w:val="bottom"/>
            <w:hideMark/>
          </w:tcPr>
          <w:p w14:paraId="13768537" w14:textId="77777777" w:rsidR="008E6BFD" w:rsidRPr="00873B6C" w:rsidRDefault="008E6BFD" w:rsidP="00873B6C">
            <w:pPr>
              <w:pStyle w:val="NoSpacing1"/>
              <w:rPr>
                <w:sz w:val="16"/>
                <w:szCs w:val="16"/>
              </w:rPr>
            </w:pPr>
            <w:r w:rsidRPr="00873B6C">
              <w:rPr>
                <w:sz w:val="16"/>
                <w:szCs w:val="16"/>
              </w:rPr>
              <w:t>CT</w:t>
            </w:r>
          </w:p>
        </w:tc>
        <w:tc>
          <w:tcPr>
            <w:tcW w:w="2612" w:type="dxa"/>
            <w:noWrap/>
            <w:tcMar>
              <w:top w:w="0" w:type="dxa"/>
              <w:left w:w="115" w:type="dxa"/>
              <w:bottom w:w="0" w:type="dxa"/>
              <w:right w:w="115" w:type="dxa"/>
            </w:tcMar>
            <w:vAlign w:val="bottom"/>
            <w:hideMark/>
          </w:tcPr>
          <w:p w14:paraId="44E139B1" w14:textId="77777777" w:rsidR="008E6BFD" w:rsidRPr="00873B6C" w:rsidRDefault="008E6BFD" w:rsidP="00873B6C">
            <w:pPr>
              <w:pStyle w:val="NoSpacing1"/>
              <w:rPr>
                <w:sz w:val="16"/>
                <w:szCs w:val="16"/>
              </w:rPr>
            </w:pPr>
            <w:r w:rsidRPr="00873B6C">
              <w:rPr>
                <w:sz w:val="16"/>
                <w:szCs w:val="16"/>
              </w:rPr>
              <w:t>Danbury</w:t>
            </w:r>
          </w:p>
        </w:tc>
        <w:tc>
          <w:tcPr>
            <w:tcW w:w="1026" w:type="dxa"/>
            <w:noWrap/>
            <w:tcMar>
              <w:top w:w="0" w:type="dxa"/>
              <w:left w:w="115" w:type="dxa"/>
              <w:bottom w:w="0" w:type="dxa"/>
              <w:right w:w="115" w:type="dxa"/>
            </w:tcMar>
            <w:vAlign w:val="bottom"/>
            <w:hideMark/>
          </w:tcPr>
          <w:p w14:paraId="0F6F034F" w14:textId="77777777" w:rsidR="008E6BFD" w:rsidRPr="00873B6C" w:rsidRDefault="008E6BFD" w:rsidP="00873B6C">
            <w:pPr>
              <w:pStyle w:val="NoSpacing1"/>
              <w:rPr>
                <w:sz w:val="16"/>
                <w:szCs w:val="16"/>
              </w:rPr>
            </w:pPr>
            <w:r w:rsidRPr="00873B6C">
              <w:rPr>
                <w:sz w:val="16"/>
                <w:szCs w:val="16"/>
              </w:rPr>
              <w:t>90011123</w:t>
            </w:r>
          </w:p>
        </w:tc>
        <w:tc>
          <w:tcPr>
            <w:tcW w:w="886" w:type="dxa"/>
            <w:tcBorders>
              <w:top w:val="nil"/>
              <w:left w:val="single" w:sz="8" w:space="0" w:color="auto"/>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30DEB688" w14:textId="77777777" w:rsidR="008E6BFD" w:rsidRPr="00873B6C" w:rsidRDefault="008E6BFD" w:rsidP="00873B6C">
            <w:pPr>
              <w:pStyle w:val="NoSpacing1"/>
              <w:rPr>
                <w:sz w:val="16"/>
                <w:szCs w:val="16"/>
              </w:rPr>
            </w:pPr>
            <w:r w:rsidRPr="00873B6C">
              <w:rPr>
                <w:sz w:val="16"/>
                <w:szCs w:val="16"/>
              </w:rPr>
              <w:t>76</w:t>
            </w:r>
          </w:p>
        </w:tc>
        <w:tc>
          <w:tcPr>
            <w:tcW w:w="720" w:type="dxa"/>
            <w:tcBorders>
              <w:top w:val="nil"/>
              <w:left w:val="nil"/>
              <w:bottom w:val="single" w:sz="8" w:space="0" w:color="auto"/>
              <w:right w:val="single" w:sz="8" w:space="0" w:color="auto"/>
            </w:tcBorders>
            <w:shd w:val="clear" w:color="auto" w:fill="FFC000"/>
            <w:noWrap/>
            <w:tcMar>
              <w:top w:w="0" w:type="dxa"/>
              <w:left w:w="115" w:type="dxa"/>
              <w:bottom w:w="0" w:type="dxa"/>
              <w:right w:w="115" w:type="dxa"/>
            </w:tcMar>
            <w:vAlign w:val="bottom"/>
            <w:hideMark/>
          </w:tcPr>
          <w:p w14:paraId="6B0D4829" w14:textId="77777777" w:rsidR="008E6BFD" w:rsidRPr="00873B6C" w:rsidRDefault="008E6BFD" w:rsidP="00873B6C">
            <w:pPr>
              <w:pStyle w:val="NoSpacing1"/>
              <w:rPr>
                <w:sz w:val="16"/>
                <w:szCs w:val="16"/>
              </w:rPr>
            </w:pPr>
            <w:r w:rsidRPr="00873B6C">
              <w:rPr>
                <w:sz w:val="16"/>
                <w:szCs w:val="16"/>
              </w:rPr>
              <w:t>74</w:t>
            </w:r>
          </w:p>
        </w:tc>
        <w:tc>
          <w:tcPr>
            <w:tcW w:w="900" w:type="dxa"/>
            <w:tcBorders>
              <w:top w:val="nil"/>
              <w:left w:val="nil"/>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7796350B" w14:textId="77777777" w:rsidR="008E6BFD" w:rsidRPr="00873B6C" w:rsidRDefault="008E6BFD" w:rsidP="00873B6C">
            <w:pPr>
              <w:pStyle w:val="NoSpacing1"/>
              <w:rPr>
                <w:sz w:val="16"/>
                <w:szCs w:val="16"/>
              </w:rPr>
            </w:pPr>
            <w:r w:rsidRPr="00873B6C">
              <w:rPr>
                <w:sz w:val="16"/>
                <w:szCs w:val="16"/>
              </w:rPr>
              <w:t>79</w:t>
            </w:r>
          </w:p>
        </w:tc>
        <w:tc>
          <w:tcPr>
            <w:tcW w:w="825" w:type="dxa"/>
            <w:tcBorders>
              <w:top w:val="nil"/>
              <w:left w:val="nil"/>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587DD36B" w14:textId="77777777" w:rsidR="008E6BFD" w:rsidRPr="00873B6C" w:rsidRDefault="008E6BFD" w:rsidP="00873B6C">
            <w:pPr>
              <w:pStyle w:val="NoSpacing1"/>
              <w:rPr>
                <w:sz w:val="16"/>
                <w:szCs w:val="16"/>
              </w:rPr>
            </w:pPr>
            <w:r w:rsidRPr="00873B6C">
              <w:rPr>
                <w:i/>
                <w:iCs/>
                <w:sz w:val="16"/>
                <w:szCs w:val="16"/>
              </w:rPr>
              <w:t>81</w:t>
            </w:r>
          </w:p>
        </w:tc>
        <w:tc>
          <w:tcPr>
            <w:tcW w:w="1605" w:type="dxa"/>
            <w:noWrap/>
            <w:tcMar>
              <w:top w:w="0" w:type="dxa"/>
              <w:left w:w="115" w:type="dxa"/>
              <w:bottom w:w="0" w:type="dxa"/>
              <w:right w:w="115" w:type="dxa"/>
            </w:tcMar>
            <w:vAlign w:val="bottom"/>
            <w:hideMark/>
          </w:tcPr>
          <w:p w14:paraId="09D267A8" w14:textId="77777777" w:rsidR="008E6BFD" w:rsidRPr="00873B6C" w:rsidRDefault="008E6BFD" w:rsidP="00873B6C">
            <w:pPr>
              <w:pStyle w:val="NoSpacing1"/>
              <w:rPr>
                <w:rFonts w:ascii="Calibri" w:eastAsiaTheme="minorHAnsi" w:hAnsi="Calibri"/>
                <w:sz w:val="16"/>
                <w:szCs w:val="16"/>
              </w:rPr>
            </w:pPr>
            <w:r w:rsidRPr="00873B6C">
              <w:rPr>
                <w:color w:val="000000"/>
                <w:sz w:val="16"/>
                <w:szCs w:val="16"/>
              </w:rPr>
              <w:t>78</w:t>
            </w:r>
          </w:p>
        </w:tc>
      </w:tr>
      <w:tr w:rsidR="008E6BFD" w14:paraId="22068806" w14:textId="77777777" w:rsidTr="001B23C9">
        <w:trPr>
          <w:trHeight w:val="43"/>
        </w:trPr>
        <w:tc>
          <w:tcPr>
            <w:tcW w:w="801" w:type="dxa"/>
            <w:noWrap/>
            <w:tcMar>
              <w:top w:w="0" w:type="dxa"/>
              <w:left w:w="115" w:type="dxa"/>
              <w:bottom w:w="0" w:type="dxa"/>
              <w:right w:w="115" w:type="dxa"/>
            </w:tcMar>
            <w:vAlign w:val="bottom"/>
            <w:hideMark/>
          </w:tcPr>
          <w:p w14:paraId="7C778ADC" w14:textId="77777777" w:rsidR="008E6BFD" w:rsidRPr="00873B6C" w:rsidRDefault="008E6BFD" w:rsidP="00873B6C">
            <w:pPr>
              <w:pStyle w:val="NoSpacing1"/>
              <w:rPr>
                <w:sz w:val="16"/>
                <w:szCs w:val="16"/>
              </w:rPr>
            </w:pPr>
            <w:r w:rsidRPr="00873B6C">
              <w:rPr>
                <w:sz w:val="16"/>
                <w:szCs w:val="16"/>
              </w:rPr>
              <w:t>PA</w:t>
            </w:r>
          </w:p>
        </w:tc>
        <w:tc>
          <w:tcPr>
            <w:tcW w:w="2612" w:type="dxa"/>
            <w:noWrap/>
            <w:tcMar>
              <w:top w:w="0" w:type="dxa"/>
              <w:left w:w="115" w:type="dxa"/>
              <w:bottom w:w="0" w:type="dxa"/>
              <w:right w:w="115" w:type="dxa"/>
            </w:tcMar>
            <w:vAlign w:val="bottom"/>
            <w:hideMark/>
          </w:tcPr>
          <w:p w14:paraId="11171F13" w14:textId="77777777" w:rsidR="008E6BFD" w:rsidRPr="00873B6C" w:rsidRDefault="008E6BFD" w:rsidP="00873B6C">
            <w:pPr>
              <w:pStyle w:val="NoSpacing1"/>
              <w:rPr>
                <w:sz w:val="16"/>
                <w:szCs w:val="16"/>
              </w:rPr>
            </w:pPr>
            <w:r w:rsidRPr="00873B6C">
              <w:rPr>
                <w:sz w:val="16"/>
                <w:szCs w:val="16"/>
              </w:rPr>
              <w:t>Bristol</w:t>
            </w:r>
          </w:p>
        </w:tc>
        <w:tc>
          <w:tcPr>
            <w:tcW w:w="1026" w:type="dxa"/>
            <w:noWrap/>
            <w:tcMar>
              <w:top w:w="0" w:type="dxa"/>
              <w:left w:w="115" w:type="dxa"/>
              <w:bottom w:w="0" w:type="dxa"/>
              <w:right w:w="115" w:type="dxa"/>
            </w:tcMar>
            <w:vAlign w:val="bottom"/>
            <w:hideMark/>
          </w:tcPr>
          <w:p w14:paraId="3F0FC6D6" w14:textId="77777777" w:rsidR="008E6BFD" w:rsidRPr="00873B6C" w:rsidRDefault="008E6BFD" w:rsidP="00873B6C">
            <w:pPr>
              <w:pStyle w:val="NoSpacing1"/>
              <w:rPr>
                <w:sz w:val="16"/>
                <w:szCs w:val="16"/>
              </w:rPr>
            </w:pPr>
            <w:r w:rsidRPr="00873B6C">
              <w:rPr>
                <w:sz w:val="16"/>
                <w:szCs w:val="16"/>
              </w:rPr>
              <w:t>420170012</w:t>
            </w:r>
          </w:p>
        </w:tc>
        <w:tc>
          <w:tcPr>
            <w:tcW w:w="886" w:type="dxa"/>
            <w:tcBorders>
              <w:top w:val="nil"/>
              <w:left w:val="single" w:sz="8" w:space="0" w:color="auto"/>
              <w:bottom w:val="single" w:sz="8" w:space="0" w:color="auto"/>
              <w:right w:val="single" w:sz="8" w:space="0" w:color="auto"/>
            </w:tcBorders>
            <w:shd w:val="clear" w:color="auto" w:fill="FFC000"/>
            <w:noWrap/>
            <w:tcMar>
              <w:top w:w="0" w:type="dxa"/>
              <w:left w:w="115" w:type="dxa"/>
              <w:bottom w:w="0" w:type="dxa"/>
              <w:right w:w="115" w:type="dxa"/>
            </w:tcMar>
            <w:vAlign w:val="bottom"/>
            <w:hideMark/>
          </w:tcPr>
          <w:p w14:paraId="5B4BDCA7" w14:textId="77777777" w:rsidR="008E6BFD" w:rsidRPr="00873B6C" w:rsidRDefault="008E6BFD" w:rsidP="00873B6C">
            <w:pPr>
              <w:pStyle w:val="NoSpacing1"/>
              <w:rPr>
                <w:sz w:val="16"/>
                <w:szCs w:val="16"/>
              </w:rPr>
            </w:pPr>
            <w:r w:rsidRPr="00873B6C">
              <w:rPr>
                <w:sz w:val="16"/>
                <w:szCs w:val="16"/>
              </w:rPr>
              <w:t>73</w:t>
            </w:r>
          </w:p>
        </w:tc>
        <w:tc>
          <w:tcPr>
            <w:tcW w:w="720" w:type="dxa"/>
            <w:tcBorders>
              <w:top w:val="nil"/>
              <w:left w:val="nil"/>
              <w:bottom w:val="single" w:sz="8" w:space="0" w:color="auto"/>
              <w:right w:val="single" w:sz="8" w:space="0" w:color="auto"/>
            </w:tcBorders>
            <w:shd w:val="clear" w:color="auto" w:fill="FFC000"/>
            <w:noWrap/>
            <w:tcMar>
              <w:top w:w="0" w:type="dxa"/>
              <w:left w:w="115" w:type="dxa"/>
              <w:bottom w:w="0" w:type="dxa"/>
              <w:right w:w="115" w:type="dxa"/>
            </w:tcMar>
            <w:vAlign w:val="bottom"/>
            <w:hideMark/>
          </w:tcPr>
          <w:p w14:paraId="085CD581" w14:textId="77777777" w:rsidR="008E6BFD" w:rsidRPr="00873B6C" w:rsidRDefault="008E6BFD" w:rsidP="00873B6C">
            <w:pPr>
              <w:pStyle w:val="NoSpacing1"/>
              <w:rPr>
                <w:sz w:val="16"/>
                <w:szCs w:val="16"/>
              </w:rPr>
            </w:pPr>
            <w:r w:rsidRPr="00873B6C">
              <w:rPr>
                <w:sz w:val="16"/>
                <w:szCs w:val="16"/>
              </w:rPr>
              <w:t>71</w:t>
            </w:r>
          </w:p>
        </w:tc>
        <w:tc>
          <w:tcPr>
            <w:tcW w:w="900" w:type="dxa"/>
            <w:tcBorders>
              <w:top w:val="nil"/>
              <w:left w:val="nil"/>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6C775960" w14:textId="77777777" w:rsidR="008E6BFD" w:rsidRPr="00873B6C" w:rsidRDefault="008E6BFD" w:rsidP="00873B6C">
            <w:pPr>
              <w:pStyle w:val="NoSpacing1"/>
              <w:rPr>
                <w:sz w:val="16"/>
                <w:szCs w:val="16"/>
              </w:rPr>
            </w:pPr>
            <w:r w:rsidRPr="00873B6C">
              <w:rPr>
                <w:sz w:val="16"/>
                <w:szCs w:val="16"/>
              </w:rPr>
              <w:t>82</w:t>
            </w:r>
          </w:p>
        </w:tc>
        <w:tc>
          <w:tcPr>
            <w:tcW w:w="825" w:type="dxa"/>
            <w:tcBorders>
              <w:top w:val="nil"/>
              <w:left w:val="nil"/>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39ACBBD3" w14:textId="77777777" w:rsidR="008E6BFD" w:rsidRPr="00873B6C" w:rsidRDefault="008E6BFD" w:rsidP="00873B6C">
            <w:pPr>
              <w:pStyle w:val="NoSpacing1"/>
              <w:rPr>
                <w:sz w:val="16"/>
                <w:szCs w:val="16"/>
              </w:rPr>
            </w:pPr>
            <w:r w:rsidRPr="00873B6C">
              <w:rPr>
                <w:i/>
                <w:iCs/>
                <w:sz w:val="16"/>
                <w:szCs w:val="16"/>
              </w:rPr>
              <w:t>80</w:t>
            </w:r>
          </w:p>
        </w:tc>
        <w:tc>
          <w:tcPr>
            <w:tcW w:w="1605" w:type="dxa"/>
            <w:noWrap/>
            <w:tcMar>
              <w:top w:w="0" w:type="dxa"/>
              <w:left w:w="115" w:type="dxa"/>
              <w:bottom w:w="0" w:type="dxa"/>
              <w:right w:w="115" w:type="dxa"/>
            </w:tcMar>
            <w:vAlign w:val="bottom"/>
            <w:hideMark/>
          </w:tcPr>
          <w:p w14:paraId="670766FB" w14:textId="77777777" w:rsidR="008E6BFD" w:rsidRPr="00873B6C" w:rsidRDefault="008E6BFD" w:rsidP="00873B6C">
            <w:pPr>
              <w:pStyle w:val="NoSpacing1"/>
              <w:rPr>
                <w:rFonts w:ascii="Calibri" w:eastAsiaTheme="minorHAnsi" w:hAnsi="Calibri"/>
                <w:sz w:val="16"/>
                <w:szCs w:val="16"/>
              </w:rPr>
            </w:pPr>
            <w:r w:rsidRPr="00873B6C">
              <w:rPr>
                <w:color w:val="000000"/>
                <w:sz w:val="16"/>
                <w:szCs w:val="16"/>
              </w:rPr>
              <w:t>77</w:t>
            </w:r>
          </w:p>
        </w:tc>
      </w:tr>
      <w:tr w:rsidR="008E6BFD" w14:paraId="2D4EE19F" w14:textId="77777777" w:rsidTr="001B23C9">
        <w:trPr>
          <w:trHeight w:val="43"/>
        </w:trPr>
        <w:tc>
          <w:tcPr>
            <w:tcW w:w="801" w:type="dxa"/>
            <w:noWrap/>
            <w:tcMar>
              <w:top w:w="0" w:type="dxa"/>
              <w:left w:w="115" w:type="dxa"/>
              <w:bottom w:w="0" w:type="dxa"/>
              <w:right w:w="115" w:type="dxa"/>
            </w:tcMar>
            <w:vAlign w:val="bottom"/>
            <w:hideMark/>
          </w:tcPr>
          <w:p w14:paraId="6F9D03AD" w14:textId="77777777" w:rsidR="008E6BFD" w:rsidRPr="00873B6C" w:rsidRDefault="008E6BFD" w:rsidP="00873B6C">
            <w:pPr>
              <w:pStyle w:val="NoSpacing1"/>
              <w:rPr>
                <w:sz w:val="16"/>
                <w:szCs w:val="16"/>
              </w:rPr>
            </w:pPr>
            <w:r w:rsidRPr="00873B6C">
              <w:rPr>
                <w:sz w:val="16"/>
                <w:szCs w:val="16"/>
              </w:rPr>
              <w:t>CT</w:t>
            </w:r>
          </w:p>
        </w:tc>
        <w:tc>
          <w:tcPr>
            <w:tcW w:w="2612" w:type="dxa"/>
            <w:noWrap/>
            <w:tcMar>
              <w:top w:w="0" w:type="dxa"/>
              <w:left w:w="115" w:type="dxa"/>
              <w:bottom w:w="0" w:type="dxa"/>
              <w:right w:w="115" w:type="dxa"/>
            </w:tcMar>
            <w:vAlign w:val="bottom"/>
            <w:hideMark/>
          </w:tcPr>
          <w:p w14:paraId="75A2F835" w14:textId="77777777" w:rsidR="008E6BFD" w:rsidRPr="00873B6C" w:rsidRDefault="008E6BFD" w:rsidP="00873B6C">
            <w:pPr>
              <w:pStyle w:val="NoSpacing1"/>
              <w:rPr>
                <w:sz w:val="16"/>
                <w:szCs w:val="16"/>
              </w:rPr>
            </w:pPr>
            <w:r w:rsidRPr="00873B6C">
              <w:rPr>
                <w:sz w:val="16"/>
                <w:szCs w:val="16"/>
              </w:rPr>
              <w:t>East Hartford</w:t>
            </w:r>
          </w:p>
        </w:tc>
        <w:tc>
          <w:tcPr>
            <w:tcW w:w="1026" w:type="dxa"/>
            <w:noWrap/>
            <w:tcMar>
              <w:top w:w="0" w:type="dxa"/>
              <w:left w:w="115" w:type="dxa"/>
              <w:bottom w:w="0" w:type="dxa"/>
              <w:right w:w="115" w:type="dxa"/>
            </w:tcMar>
            <w:vAlign w:val="bottom"/>
            <w:hideMark/>
          </w:tcPr>
          <w:p w14:paraId="08190CE8" w14:textId="77777777" w:rsidR="008E6BFD" w:rsidRPr="00873B6C" w:rsidRDefault="008E6BFD" w:rsidP="00873B6C">
            <w:pPr>
              <w:pStyle w:val="NoSpacing1"/>
              <w:rPr>
                <w:sz w:val="16"/>
                <w:szCs w:val="16"/>
              </w:rPr>
            </w:pPr>
            <w:r w:rsidRPr="00873B6C">
              <w:rPr>
                <w:sz w:val="16"/>
                <w:szCs w:val="16"/>
              </w:rPr>
              <w:t>90031003</w:t>
            </w:r>
          </w:p>
        </w:tc>
        <w:tc>
          <w:tcPr>
            <w:tcW w:w="886" w:type="dxa"/>
            <w:tcBorders>
              <w:top w:val="nil"/>
              <w:left w:val="single" w:sz="8" w:space="0" w:color="auto"/>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4410D94D" w14:textId="77777777" w:rsidR="008E6BFD" w:rsidRPr="00873B6C" w:rsidRDefault="008E6BFD" w:rsidP="00873B6C">
            <w:pPr>
              <w:pStyle w:val="NoSpacing1"/>
              <w:rPr>
                <w:sz w:val="16"/>
                <w:szCs w:val="16"/>
              </w:rPr>
            </w:pPr>
            <w:r w:rsidRPr="00873B6C">
              <w:rPr>
                <w:sz w:val="16"/>
                <w:szCs w:val="16"/>
              </w:rPr>
              <w:t>77</w:t>
            </w:r>
          </w:p>
        </w:tc>
        <w:tc>
          <w:tcPr>
            <w:tcW w:w="720" w:type="dxa"/>
            <w:tcBorders>
              <w:top w:val="nil"/>
              <w:left w:val="nil"/>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556D4194" w14:textId="77777777" w:rsidR="008E6BFD" w:rsidRPr="00873B6C" w:rsidRDefault="008E6BFD" w:rsidP="00873B6C">
            <w:pPr>
              <w:pStyle w:val="NoSpacing1"/>
              <w:rPr>
                <w:sz w:val="16"/>
                <w:szCs w:val="16"/>
              </w:rPr>
            </w:pPr>
            <w:r w:rsidRPr="00873B6C">
              <w:rPr>
                <w:sz w:val="16"/>
                <w:szCs w:val="16"/>
              </w:rPr>
              <w:t>77</w:t>
            </w:r>
          </w:p>
        </w:tc>
        <w:tc>
          <w:tcPr>
            <w:tcW w:w="900" w:type="dxa"/>
            <w:tcBorders>
              <w:top w:val="nil"/>
              <w:left w:val="nil"/>
              <w:bottom w:val="single" w:sz="8" w:space="0" w:color="auto"/>
              <w:right w:val="single" w:sz="8" w:space="0" w:color="auto"/>
            </w:tcBorders>
            <w:shd w:val="clear" w:color="auto" w:fill="FFC000"/>
            <w:noWrap/>
            <w:tcMar>
              <w:top w:w="0" w:type="dxa"/>
              <w:left w:w="115" w:type="dxa"/>
              <w:bottom w:w="0" w:type="dxa"/>
              <w:right w:w="115" w:type="dxa"/>
            </w:tcMar>
            <w:vAlign w:val="bottom"/>
            <w:hideMark/>
          </w:tcPr>
          <w:p w14:paraId="5B79A61A" w14:textId="77777777" w:rsidR="008E6BFD" w:rsidRPr="00873B6C" w:rsidRDefault="008E6BFD" w:rsidP="00873B6C">
            <w:pPr>
              <w:pStyle w:val="NoSpacing1"/>
              <w:rPr>
                <w:sz w:val="16"/>
                <w:szCs w:val="16"/>
              </w:rPr>
            </w:pPr>
            <w:r w:rsidRPr="00873B6C">
              <w:rPr>
                <w:sz w:val="16"/>
                <w:szCs w:val="16"/>
              </w:rPr>
              <w:t>75</w:t>
            </w:r>
          </w:p>
        </w:tc>
        <w:tc>
          <w:tcPr>
            <w:tcW w:w="825" w:type="dxa"/>
            <w:tcBorders>
              <w:top w:val="nil"/>
              <w:left w:val="nil"/>
              <w:bottom w:val="single" w:sz="8" w:space="0" w:color="auto"/>
              <w:right w:val="single" w:sz="8" w:space="0" w:color="auto"/>
            </w:tcBorders>
            <w:shd w:val="clear" w:color="auto" w:fill="FFC000"/>
            <w:noWrap/>
            <w:tcMar>
              <w:top w:w="0" w:type="dxa"/>
              <w:left w:w="115" w:type="dxa"/>
              <w:bottom w:w="0" w:type="dxa"/>
              <w:right w:w="115" w:type="dxa"/>
            </w:tcMar>
            <w:vAlign w:val="bottom"/>
            <w:hideMark/>
          </w:tcPr>
          <w:p w14:paraId="64E61D64" w14:textId="77777777" w:rsidR="008E6BFD" w:rsidRPr="00873B6C" w:rsidRDefault="008E6BFD" w:rsidP="00873B6C">
            <w:pPr>
              <w:pStyle w:val="NoSpacing1"/>
              <w:rPr>
                <w:sz w:val="16"/>
                <w:szCs w:val="16"/>
              </w:rPr>
            </w:pPr>
            <w:r w:rsidRPr="00873B6C">
              <w:rPr>
                <w:i/>
                <w:iCs/>
                <w:sz w:val="16"/>
                <w:szCs w:val="16"/>
              </w:rPr>
              <w:t>75</w:t>
            </w:r>
          </w:p>
        </w:tc>
        <w:tc>
          <w:tcPr>
            <w:tcW w:w="1605" w:type="dxa"/>
            <w:noWrap/>
            <w:tcMar>
              <w:top w:w="0" w:type="dxa"/>
              <w:left w:w="115" w:type="dxa"/>
              <w:bottom w:w="0" w:type="dxa"/>
              <w:right w:w="115" w:type="dxa"/>
            </w:tcMar>
            <w:vAlign w:val="bottom"/>
            <w:hideMark/>
          </w:tcPr>
          <w:p w14:paraId="59DDCEAE" w14:textId="77777777" w:rsidR="008E6BFD" w:rsidRPr="00873B6C" w:rsidRDefault="008E6BFD" w:rsidP="00873B6C">
            <w:pPr>
              <w:pStyle w:val="NoSpacing1"/>
              <w:rPr>
                <w:rFonts w:ascii="Calibri" w:eastAsiaTheme="minorHAnsi" w:hAnsi="Calibri"/>
                <w:sz w:val="16"/>
                <w:szCs w:val="16"/>
              </w:rPr>
            </w:pPr>
            <w:r w:rsidRPr="00873B6C">
              <w:rPr>
                <w:color w:val="000000"/>
                <w:sz w:val="16"/>
                <w:szCs w:val="16"/>
              </w:rPr>
              <w:t>76</w:t>
            </w:r>
          </w:p>
        </w:tc>
      </w:tr>
      <w:tr w:rsidR="008E6BFD" w14:paraId="3372FF58" w14:textId="77777777" w:rsidTr="001B23C9">
        <w:trPr>
          <w:trHeight w:val="43"/>
        </w:trPr>
        <w:tc>
          <w:tcPr>
            <w:tcW w:w="801" w:type="dxa"/>
            <w:noWrap/>
            <w:tcMar>
              <w:top w:w="0" w:type="dxa"/>
              <w:left w:w="115" w:type="dxa"/>
              <w:bottom w:w="0" w:type="dxa"/>
              <w:right w:w="115" w:type="dxa"/>
            </w:tcMar>
            <w:vAlign w:val="bottom"/>
            <w:hideMark/>
          </w:tcPr>
          <w:p w14:paraId="463266A1" w14:textId="77777777" w:rsidR="008E6BFD" w:rsidRPr="00873B6C" w:rsidRDefault="008E6BFD" w:rsidP="00873B6C">
            <w:pPr>
              <w:pStyle w:val="NoSpacing1"/>
              <w:rPr>
                <w:sz w:val="16"/>
                <w:szCs w:val="16"/>
              </w:rPr>
            </w:pPr>
            <w:r w:rsidRPr="00873B6C">
              <w:rPr>
                <w:sz w:val="16"/>
                <w:szCs w:val="16"/>
              </w:rPr>
              <w:t>CT</w:t>
            </w:r>
          </w:p>
        </w:tc>
        <w:tc>
          <w:tcPr>
            <w:tcW w:w="2612" w:type="dxa"/>
            <w:noWrap/>
            <w:tcMar>
              <w:top w:w="0" w:type="dxa"/>
              <w:left w:w="115" w:type="dxa"/>
              <w:bottom w:w="0" w:type="dxa"/>
              <w:right w:w="115" w:type="dxa"/>
            </w:tcMar>
            <w:vAlign w:val="bottom"/>
            <w:hideMark/>
          </w:tcPr>
          <w:p w14:paraId="16980E79" w14:textId="77777777" w:rsidR="008E6BFD" w:rsidRPr="00873B6C" w:rsidRDefault="008E6BFD" w:rsidP="00873B6C">
            <w:pPr>
              <w:pStyle w:val="NoSpacing1"/>
              <w:rPr>
                <w:sz w:val="16"/>
                <w:szCs w:val="16"/>
              </w:rPr>
            </w:pPr>
            <w:r w:rsidRPr="00873B6C">
              <w:rPr>
                <w:sz w:val="16"/>
                <w:szCs w:val="16"/>
              </w:rPr>
              <w:t>New Haven-B</w:t>
            </w:r>
          </w:p>
        </w:tc>
        <w:tc>
          <w:tcPr>
            <w:tcW w:w="1026" w:type="dxa"/>
            <w:noWrap/>
            <w:tcMar>
              <w:top w:w="0" w:type="dxa"/>
              <w:left w:w="115" w:type="dxa"/>
              <w:bottom w:w="0" w:type="dxa"/>
              <w:right w:w="115" w:type="dxa"/>
            </w:tcMar>
            <w:vAlign w:val="bottom"/>
            <w:hideMark/>
          </w:tcPr>
          <w:p w14:paraId="62700595" w14:textId="77777777" w:rsidR="008E6BFD" w:rsidRPr="00873B6C" w:rsidRDefault="008E6BFD" w:rsidP="00873B6C">
            <w:pPr>
              <w:pStyle w:val="NoSpacing1"/>
              <w:rPr>
                <w:sz w:val="16"/>
                <w:szCs w:val="16"/>
              </w:rPr>
            </w:pPr>
            <w:r w:rsidRPr="00873B6C">
              <w:rPr>
                <w:sz w:val="16"/>
                <w:szCs w:val="16"/>
              </w:rPr>
              <w:t>90090027</w:t>
            </w:r>
          </w:p>
        </w:tc>
        <w:tc>
          <w:tcPr>
            <w:tcW w:w="886" w:type="dxa"/>
            <w:tcBorders>
              <w:top w:val="nil"/>
              <w:left w:val="single" w:sz="8" w:space="0" w:color="auto"/>
              <w:bottom w:val="single" w:sz="8" w:space="0" w:color="auto"/>
              <w:right w:val="single" w:sz="8" w:space="0" w:color="auto"/>
            </w:tcBorders>
            <w:shd w:val="clear" w:color="auto" w:fill="FFC000"/>
            <w:noWrap/>
            <w:tcMar>
              <w:top w:w="0" w:type="dxa"/>
              <w:left w:w="115" w:type="dxa"/>
              <w:bottom w:w="0" w:type="dxa"/>
              <w:right w:w="115" w:type="dxa"/>
            </w:tcMar>
            <w:vAlign w:val="bottom"/>
            <w:hideMark/>
          </w:tcPr>
          <w:p w14:paraId="7E9305DC" w14:textId="77777777" w:rsidR="008E6BFD" w:rsidRPr="00873B6C" w:rsidRDefault="008E6BFD" w:rsidP="00873B6C">
            <w:pPr>
              <w:pStyle w:val="NoSpacing1"/>
              <w:rPr>
                <w:sz w:val="16"/>
                <w:szCs w:val="16"/>
              </w:rPr>
            </w:pPr>
            <w:r w:rsidRPr="00873B6C">
              <w:rPr>
                <w:sz w:val="16"/>
                <w:szCs w:val="16"/>
              </w:rPr>
              <w:t>75</w:t>
            </w:r>
          </w:p>
        </w:tc>
        <w:tc>
          <w:tcPr>
            <w:tcW w:w="720" w:type="dxa"/>
            <w:tcBorders>
              <w:top w:val="nil"/>
              <w:left w:val="nil"/>
              <w:bottom w:val="single" w:sz="8" w:space="0" w:color="auto"/>
              <w:right w:val="single" w:sz="8" w:space="0" w:color="auto"/>
            </w:tcBorders>
            <w:shd w:val="clear" w:color="auto" w:fill="FFC000"/>
            <w:noWrap/>
            <w:tcMar>
              <w:top w:w="0" w:type="dxa"/>
              <w:left w:w="115" w:type="dxa"/>
              <w:bottom w:w="0" w:type="dxa"/>
              <w:right w:w="115" w:type="dxa"/>
            </w:tcMar>
            <w:vAlign w:val="bottom"/>
            <w:hideMark/>
          </w:tcPr>
          <w:p w14:paraId="6954B5DE" w14:textId="77777777" w:rsidR="008E6BFD" w:rsidRPr="00873B6C" w:rsidRDefault="008E6BFD" w:rsidP="00873B6C">
            <w:pPr>
              <w:pStyle w:val="NoSpacing1"/>
              <w:rPr>
                <w:sz w:val="16"/>
                <w:szCs w:val="16"/>
              </w:rPr>
            </w:pPr>
            <w:r w:rsidRPr="00873B6C">
              <w:rPr>
                <w:sz w:val="16"/>
                <w:szCs w:val="16"/>
              </w:rPr>
              <w:t>72</w:t>
            </w:r>
          </w:p>
        </w:tc>
        <w:tc>
          <w:tcPr>
            <w:tcW w:w="900" w:type="dxa"/>
            <w:tcBorders>
              <w:top w:val="nil"/>
              <w:left w:val="nil"/>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71D1E3AE" w14:textId="77777777" w:rsidR="008E6BFD" w:rsidRPr="00873B6C" w:rsidRDefault="008E6BFD" w:rsidP="00873B6C">
            <w:pPr>
              <w:pStyle w:val="NoSpacing1"/>
              <w:rPr>
                <w:sz w:val="16"/>
                <w:szCs w:val="16"/>
              </w:rPr>
            </w:pPr>
            <w:r w:rsidRPr="00873B6C">
              <w:rPr>
                <w:sz w:val="16"/>
                <w:szCs w:val="16"/>
              </w:rPr>
              <w:t>81</w:t>
            </w:r>
          </w:p>
        </w:tc>
        <w:tc>
          <w:tcPr>
            <w:tcW w:w="825" w:type="dxa"/>
            <w:tcBorders>
              <w:top w:val="nil"/>
              <w:left w:val="nil"/>
              <w:bottom w:val="single" w:sz="8" w:space="0" w:color="auto"/>
              <w:right w:val="single" w:sz="8" w:space="0" w:color="auto"/>
            </w:tcBorders>
            <w:shd w:val="clear" w:color="auto" w:fill="FFC000"/>
            <w:noWrap/>
            <w:tcMar>
              <w:top w:w="0" w:type="dxa"/>
              <w:left w:w="115" w:type="dxa"/>
              <w:bottom w:w="0" w:type="dxa"/>
              <w:right w:w="115" w:type="dxa"/>
            </w:tcMar>
            <w:vAlign w:val="bottom"/>
            <w:hideMark/>
          </w:tcPr>
          <w:p w14:paraId="1C1888D8" w14:textId="77777777" w:rsidR="008E6BFD" w:rsidRPr="00873B6C" w:rsidRDefault="008E6BFD" w:rsidP="00873B6C">
            <w:pPr>
              <w:pStyle w:val="NoSpacing1"/>
              <w:rPr>
                <w:sz w:val="16"/>
                <w:szCs w:val="16"/>
              </w:rPr>
            </w:pPr>
            <w:r w:rsidRPr="00873B6C">
              <w:rPr>
                <w:i/>
                <w:iCs/>
                <w:sz w:val="16"/>
                <w:szCs w:val="16"/>
              </w:rPr>
              <w:t>75</w:t>
            </w:r>
          </w:p>
        </w:tc>
        <w:tc>
          <w:tcPr>
            <w:tcW w:w="1605" w:type="dxa"/>
            <w:noWrap/>
            <w:tcMar>
              <w:top w:w="0" w:type="dxa"/>
              <w:left w:w="115" w:type="dxa"/>
              <w:bottom w:w="0" w:type="dxa"/>
              <w:right w:w="115" w:type="dxa"/>
            </w:tcMar>
            <w:vAlign w:val="bottom"/>
            <w:hideMark/>
          </w:tcPr>
          <w:p w14:paraId="4E9E8C23" w14:textId="77777777" w:rsidR="008E6BFD" w:rsidRPr="00873B6C" w:rsidRDefault="008E6BFD" w:rsidP="00873B6C">
            <w:pPr>
              <w:pStyle w:val="NoSpacing1"/>
              <w:rPr>
                <w:rFonts w:ascii="Calibri" w:eastAsiaTheme="minorHAnsi" w:hAnsi="Calibri"/>
                <w:sz w:val="16"/>
                <w:szCs w:val="16"/>
              </w:rPr>
            </w:pPr>
            <w:r w:rsidRPr="00873B6C">
              <w:rPr>
                <w:color w:val="000000"/>
                <w:sz w:val="16"/>
                <w:szCs w:val="16"/>
              </w:rPr>
              <w:t>76</w:t>
            </w:r>
          </w:p>
        </w:tc>
      </w:tr>
      <w:tr w:rsidR="008E6BFD" w14:paraId="581E73F6" w14:textId="77777777" w:rsidTr="001B23C9">
        <w:trPr>
          <w:trHeight w:val="43"/>
        </w:trPr>
        <w:tc>
          <w:tcPr>
            <w:tcW w:w="801" w:type="dxa"/>
            <w:noWrap/>
            <w:tcMar>
              <w:top w:w="0" w:type="dxa"/>
              <w:left w:w="115" w:type="dxa"/>
              <w:bottom w:w="0" w:type="dxa"/>
              <w:right w:w="115" w:type="dxa"/>
            </w:tcMar>
            <w:vAlign w:val="bottom"/>
            <w:hideMark/>
          </w:tcPr>
          <w:p w14:paraId="5DBAAAA2" w14:textId="77777777" w:rsidR="008E6BFD" w:rsidRPr="00873B6C" w:rsidRDefault="008E6BFD" w:rsidP="00873B6C">
            <w:pPr>
              <w:pStyle w:val="NoSpacing1"/>
              <w:rPr>
                <w:sz w:val="16"/>
                <w:szCs w:val="16"/>
              </w:rPr>
            </w:pPr>
            <w:r w:rsidRPr="00873B6C">
              <w:rPr>
                <w:sz w:val="16"/>
                <w:szCs w:val="16"/>
              </w:rPr>
              <w:t>CT</w:t>
            </w:r>
          </w:p>
        </w:tc>
        <w:tc>
          <w:tcPr>
            <w:tcW w:w="2612" w:type="dxa"/>
            <w:noWrap/>
            <w:tcMar>
              <w:top w:w="0" w:type="dxa"/>
              <w:left w:w="115" w:type="dxa"/>
              <w:bottom w:w="0" w:type="dxa"/>
              <w:right w:w="115" w:type="dxa"/>
            </w:tcMar>
            <w:vAlign w:val="bottom"/>
            <w:hideMark/>
          </w:tcPr>
          <w:p w14:paraId="5D30F69F" w14:textId="77777777" w:rsidR="008E6BFD" w:rsidRPr="00873B6C" w:rsidRDefault="008E6BFD" w:rsidP="00873B6C">
            <w:pPr>
              <w:pStyle w:val="NoSpacing1"/>
              <w:rPr>
                <w:sz w:val="16"/>
                <w:szCs w:val="16"/>
              </w:rPr>
            </w:pPr>
            <w:r w:rsidRPr="00873B6C">
              <w:rPr>
                <w:sz w:val="16"/>
                <w:szCs w:val="16"/>
              </w:rPr>
              <w:t>Groton Fort Griswold</w:t>
            </w:r>
          </w:p>
        </w:tc>
        <w:tc>
          <w:tcPr>
            <w:tcW w:w="1026" w:type="dxa"/>
            <w:noWrap/>
            <w:tcMar>
              <w:top w:w="0" w:type="dxa"/>
              <w:left w:w="115" w:type="dxa"/>
              <w:bottom w:w="0" w:type="dxa"/>
              <w:right w:w="115" w:type="dxa"/>
            </w:tcMar>
            <w:vAlign w:val="bottom"/>
            <w:hideMark/>
          </w:tcPr>
          <w:p w14:paraId="3A720F93" w14:textId="77777777" w:rsidR="008E6BFD" w:rsidRPr="00873B6C" w:rsidRDefault="008E6BFD" w:rsidP="00873B6C">
            <w:pPr>
              <w:pStyle w:val="NoSpacing1"/>
              <w:rPr>
                <w:sz w:val="16"/>
                <w:szCs w:val="16"/>
              </w:rPr>
            </w:pPr>
            <w:r w:rsidRPr="00873B6C">
              <w:rPr>
                <w:sz w:val="16"/>
                <w:szCs w:val="16"/>
              </w:rPr>
              <w:t>90110124</w:t>
            </w:r>
          </w:p>
        </w:tc>
        <w:tc>
          <w:tcPr>
            <w:tcW w:w="886" w:type="dxa"/>
            <w:tcBorders>
              <w:top w:val="nil"/>
              <w:left w:val="single" w:sz="8" w:space="0" w:color="auto"/>
              <w:bottom w:val="single" w:sz="8" w:space="0" w:color="auto"/>
              <w:right w:val="single" w:sz="8" w:space="0" w:color="auto"/>
            </w:tcBorders>
            <w:shd w:val="clear" w:color="auto" w:fill="FF0000"/>
            <w:noWrap/>
            <w:tcMar>
              <w:top w:w="0" w:type="dxa"/>
              <w:left w:w="115" w:type="dxa"/>
              <w:bottom w:w="0" w:type="dxa"/>
              <w:right w:w="115" w:type="dxa"/>
            </w:tcMar>
            <w:vAlign w:val="bottom"/>
            <w:hideMark/>
          </w:tcPr>
          <w:p w14:paraId="44CC3DC3" w14:textId="77777777" w:rsidR="008E6BFD" w:rsidRPr="00873B6C" w:rsidRDefault="008E6BFD" w:rsidP="00873B6C">
            <w:pPr>
              <w:pStyle w:val="NoSpacing1"/>
              <w:rPr>
                <w:sz w:val="16"/>
                <w:szCs w:val="16"/>
              </w:rPr>
            </w:pPr>
            <w:r w:rsidRPr="00873B6C">
              <w:rPr>
                <w:color w:val="FFFFFF"/>
                <w:sz w:val="16"/>
                <w:szCs w:val="16"/>
              </w:rPr>
              <w:t>85</w:t>
            </w:r>
          </w:p>
        </w:tc>
        <w:tc>
          <w:tcPr>
            <w:tcW w:w="720" w:type="dxa"/>
            <w:tcBorders>
              <w:top w:val="nil"/>
              <w:left w:val="nil"/>
              <w:bottom w:val="single" w:sz="8" w:space="0" w:color="auto"/>
              <w:right w:val="single" w:sz="8" w:space="0" w:color="auto"/>
            </w:tcBorders>
            <w:noWrap/>
            <w:tcMar>
              <w:top w:w="0" w:type="dxa"/>
              <w:left w:w="115" w:type="dxa"/>
              <w:bottom w:w="0" w:type="dxa"/>
              <w:right w:w="115" w:type="dxa"/>
            </w:tcMar>
            <w:vAlign w:val="bottom"/>
            <w:hideMark/>
          </w:tcPr>
          <w:p w14:paraId="6A6A46FE" w14:textId="77777777" w:rsidR="008E6BFD" w:rsidRPr="00873B6C" w:rsidRDefault="008E6BFD" w:rsidP="00873B6C">
            <w:pPr>
              <w:pStyle w:val="NoSpacing1"/>
              <w:rPr>
                <w:sz w:val="16"/>
                <w:szCs w:val="16"/>
              </w:rPr>
            </w:pPr>
            <w:r w:rsidRPr="00873B6C">
              <w:rPr>
                <w:sz w:val="16"/>
                <w:szCs w:val="16"/>
              </w:rPr>
              <w:t>65</w:t>
            </w:r>
          </w:p>
        </w:tc>
        <w:tc>
          <w:tcPr>
            <w:tcW w:w="900" w:type="dxa"/>
            <w:tcBorders>
              <w:top w:val="nil"/>
              <w:left w:val="nil"/>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0A32605C" w14:textId="77777777" w:rsidR="008E6BFD" w:rsidRPr="00873B6C" w:rsidRDefault="008E6BFD" w:rsidP="00873B6C">
            <w:pPr>
              <w:pStyle w:val="NoSpacing1"/>
              <w:rPr>
                <w:sz w:val="16"/>
                <w:szCs w:val="16"/>
              </w:rPr>
            </w:pPr>
            <w:r w:rsidRPr="00873B6C">
              <w:rPr>
                <w:sz w:val="16"/>
                <w:szCs w:val="16"/>
              </w:rPr>
              <w:t>77</w:t>
            </w:r>
          </w:p>
        </w:tc>
        <w:tc>
          <w:tcPr>
            <w:tcW w:w="825" w:type="dxa"/>
            <w:tcBorders>
              <w:top w:val="nil"/>
              <w:left w:val="nil"/>
              <w:bottom w:val="single" w:sz="8" w:space="0" w:color="auto"/>
              <w:right w:val="single" w:sz="8" w:space="0" w:color="auto"/>
            </w:tcBorders>
            <w:shd w:val="clear" w:color="auto" w:fill="FFC000"/>
            <w:noWrap/>
            <w:tcMar>
              <w:top w:w="0" w:type="dxa"/>
              <w:left w:w="115" w:type="dxa"/>
              <w:bottom w:w="0" w:type="dxa"/>
              <w:right w:w="115" w:type="dxa"/>
            </w:tcMar>
            <w:vAlign w:val="bottom"/>
            <w:hideMark/>
          </w:tcPr>
          <w:p w14:paraId="49A753FB" w14:textId="77777777" w:rsidR="008E6BFD" w:rsidRPr="00873B6C" w:rsidRDefault="008E6BFD" w:rsidP="00873B6C">
            <w:pPr>
              <w:pStyle w:val="NoSpacing1"/>
              <w:rPr>
                <w:sz w:val="16"/>
                <w:szCs w:val="16"/>
              </w:rPr>
            </w:pPr>
            <w:r w:rsidRPr="00873B6C">
              <w:rPr>
                <w:i/>
                <w:iCs/>
                <w:sz w:val="16"/>
                <w:szCs w:val="16"/>
              </w:rPr>
              <w:t>75</w:t>
            </w:r>
          </w:p>
        </w:tc>
        <w:tc>
          <w:tcPr>
            <w:tcW w:w="1605" w:type="dxa"/>
            <w:noWrap/>
            <w:tcMar>
              <w:top w:w="0" w:type="dxa"/>
              <w:left w:w="115" w:type="dxa"/>
              <w:bottom w:w="0" w:type="dxa"/>
              <w:right w:w="115" w:type="dxa"/>
            </w:tcMar>
            <w:vAlign w:val="bottom"/>
            <w:hideMark/>
          </w:tcPr>
          <w:p w14:paraId="44B11279" w14:textId="77777777" w:rsidR="008E6BFD" w:rsidRPr="00873B6C" w:rsidRDefault="008E6BFD" w:rsidP="00873B6C">
            <w:pPr>
              <w:pStyle w:val="NoSpacing1"/>
              <w:rPr>
                <w:rFonts w:ascii="Calibri" w:eastAsiaTheme="minorHAnsi" w:hAnsi="Calibri"/>
                <w:sz w:val="16"/>
                <w:szCs w:val="16"/>
              </w:rPr>
            </w:pPr>
            <w:r w:rsidRPr="00873B6C">
              <w:rPr>
                <w:color w:val="000000"/>
                <w:sz w:val="16"/>
                <w:szCs w:val="16"/>
              </w:rPr>
              <w:t>76</w:t>
            </w:r>
          </w:p>
        </w:tc>
      </w:tr>
      <w:tr w:rsidR="008E6BFD" w14:paraId="4D8C100C" w14:textId="77777777" w:rsidTr="001B23C9">
        <w:trPr>
          <w:trHeight w:val="43"/>
        </w:trPr>
        <w:tc>
          <w:tcPr>
            <w:tcW w:w="801" w:type="dxa"/>
            <w:noWrap/>
            <w:tcMar>
              <w:top w:w="0" w:type="dxa"/>
              <w:left w:w="115" w:type="dxa"/>
              <w:bottom w:w="0" w:type="dxa"/>
              <w:right w:w="115" w:type="dxa"/>
            </w:tcMar>
            <w:vAlign w:val="bottom"/>
            <w:hideMark/>
          </w:tcPr>
          <w:p w14:paraId="23539390" w14:textId="77777777" w:rsidR="008E6BFD" w:rsidRPr="00873B6C" w:rsidRDefault="008E6BFD" w:rsidP="00873B6C">
            <w:pPr>
              <w:pStyle w:val="NoSpacing1"/>
              <w:rPr>
                <w:sz w:val="16"/>
                <w:szCs w:val="16"/>
              </w:rPr>
            </w:pPr>
            <w:r w:rsidRPr="00873B6C">
              <w:rPr>
                <w:sz w:val="16"/>
                <w:szCs w:val="16"/>
              </w:rPr>
              <w:t>CT</w:t>
            </w:r>
          </w:p>
        </w:tc>
        <w:tc>
          <w:tcPr>
            <w:tcW w:w="2612" w:type="dxa"/>
            <w:noWrap/>
            <w:tcMar>
              <w:top w:w="0" w:type="dxa"/>
              <w:left w:w="115" w:type="dxa"/>
              <w:bottom w:w="0" w:type="dxa"/>
              <w:right w:w="115" w:type="dxa"/>
            </w:tcMar>
            <w:vAlign w:val="bottom"/>
            <w:hideMark/>
          </w:tcPr>
          <w:p w14:paraId="5850C411" w14:textId="77777777" w:rsidR="008E6BFD" w:rsidRPr="00873B6C" w:rsidRDefault="008E6BFD" w:rsidP="00873B6C">
            <w:pPr>
              <w:pStyle w:val="NoSpacing1"/>
              <w:rPr>
                <w:sz w:val="16"/>
                <w:szCs w:val="16"/>
              </w:rPr>
            </w:pPr>
            <w:r w:rsidRPr="00873B6C">
              <w:rPr>
                <w:sz w:val="16"/>
                <w:szCs w:val="16"/>
              </w:rPr>
              <w:t>Stafford</w:t>
            </w:r>
          </w:p>
        </w:tc>
        <w:tc>
          <w:tcPr>
            <w:tcW w:w="1026" w:type="dxa"/>
            <w:noWrap/>
            <w:tcMar>
              <w:top w:w="0" w:type="dxa"/>
              <w:left w:w="115" w:type="dxa"/>
              <w:bottom w:w="0" w:type="dxa"/>
              <w:right w:w="115" w:type="dxa"/>
            </w:tcMar>
            <w:vAlign w:val="bottom"/>
            <w:hideMark/>
          </w:tcPr>
          <w:p w14:paraId="2D7EA854" w14:textId="77777777" w:rsidR="008E6BFD" w:rsidRPr="00873B6C" w:rsidRDefault="008E6BFD" w:rsidP="00873B6C">
            <w:pPr>
              <w:pStyle w:val="NoSpacing1"/>
              <w:rPr>
                <w:sz w:val="16"/>
                <w:szCs w:val="16"/>
              </w:rPr>
            </w:pPr>
            <w:r w:rsidRPr="00873B6C">
              <w:rPr>
                <w:sz w:val="16"/>
                <w:szCs w:val="16"/>
              </w:rPr>
              <w:t>90131001</w:t>
            </w:r>
          </w:p>
        </w:tc>
        <w:tc>
          <w:tcPr>
            <w:tcW w:w="886" w:type="dxa"/>
            <w:tcBorders>
              <w:top w:val="nil"/>
              <w:left w:val="single" w:sz="8" w:space="0" w:color="auto"/>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6F0C646C" w14:textId="77777777" w:rsidR="008E6BFD" w:rsidRPr="00873B6C" w:rsidRDefault="008E6BFD" w:rsidP="00873B6C">
            <w:pPr>
              <w:pStyle w:val="NoSpacing1"/>
              <w:rPr>
                <w:sz w:val="16"/>
                <w:szCs w:val="16"/>
              </w:rPr>
            </w:pPr>
            <w:r w:rsidRPr="00873B6C">
              <w:rPr>
                <w:sz w:val="16"/>
                <w:szCs w:val="16"/>
              </w:rPr>
              <w:t>81</w:t>
            </w:r>
          </w:p>
        </w:tc>
        <w:tc>
          <w:tcPr>
            <w:tcW w:w="720" w:type="dxa"/>
            <w:tcBorders>
              <w:top w:val="nil"/>
              <w:left w:val="nil"/>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49756F22" w14:textId="77777777" w:rsidR="008E6BFD" w:rsidRPr="00873B6C" w:rsidRDefault="008E6BFD" w:rsidP="00873B6C">
            <w:pPr>
              <w:pStyle w:val="NoSpacing1"/>
              <w:rPr>
                <w:sz w:val="16"/>
                <w:szCs w:val="16"/>
              </w:rPr>
            </w:pPr>
            <w:r w:rsidRPr="00873B6C">
              <w:rPr>
                <w:sz w:val="16"/>
                <w:szCs w:val="16"/>
              </w:rPr>
              <w:t>77</w:t>
            </w:r>
          </w:p>
        </w:tc>
        <w:tc>
          <w:tcPr>
            <w:tcW w:w="900" w:type="dxa"/>
            <w:tcBorders>
              <w:top w:val="nil"/>
              <w:left w:val="nil"/>
              <w:bottom w:val="single" w:sz="8" w:space="0" w:color="auto"/>
              <w:right w:val="single" w:sz="8" w:space="0" w:color="auto"/>
            </w:tcBorders>
            <w:shd w:val="clear" w:color="auto" w:fill="FFC000"/>
            <w:noWrap/>
            <w:tcMar>
              <w:top w:w="0" w:type="dxa"/>
              <w:left w:w="115" w:type="dxa"/>
              <w:bottom w:w="0" w:type="dxa"/>
              <w:right w:w="115" w:type="dxa"/>
            </w:tcMar>
            <w:vAlign w:val="bottom"/>
            <w:hideMark/>
          </w:tcPr>
          <w:p w14:paraId="39353468" w14:textId="77777777" w:rsidR="008E6BFD" w:rsidRPr="00873B6C" w:rsidRDefault="008E6BFD" w:rsidP="00873B6C">
            <w:pPr>
              <w:pStyle w:val="NoSpacing1"/>
              <w:rPr>
                <w:sz w:val="16"/>
                <w:szCs w:val="16"/>
              </w:rPr>
            </w:pPr>
            <w:r w:rsidRPr="00873B6C">
              <w:rPr>
                <w:sz w:val="16"/>
                <w:szCs w:val="16"/>
              </w:rPr>
              <w:t>72</w:t>
            </w:r>
          </w:p>
        </w:tc>
        <w:tc>
          <w:tcPr>
            <w:tcW w:w="825" w:type="dxa"/>
            <w:tcBorders>
              <w:top w:val="nil"/>
              <w:left w:val="nil"/>
              <w:bottom w:val="single" w:sz="8" w:space="0" w:color="auto"/>
              <w:right w:val="single" w:sz="8" w:space="0" w:color="auto"/>
            </w:tcBorders>
            <w:shd w:val="clear" w:color="auto" w:fill="FFC000"/>
            <w:noWrap/>
            <w:tcMar>
              <w:top w:w="0" w:type="dxa"/>
              <w:left w:w="115" w:type="dxa"/>
              <w:bottom w:w="0" w:type="dxa"/>
              <w:right w:w="115" w:type="dxa"/>
            </w:tcMar>
            <w:vAlign w:val="bottom"/>
            <w:hideMark/>
          </w:tcPr>
          <w:p w14:paraId="49285771" w14:textId="77777777" w:rsidR="008E6BFD" w:rsidRPr="00873B6C" w:rsidRDefault="008E6BFD" w:rsidP="00873B6C">
            <w:pPr>
              <w:pStyle w:val="NoSpacing1"/>
              <w:rPr>
                <w:sz w:val="16"/>
                <w:szCs w:val="16"/>
              </w:rPr>
            </w:pPr>
            <w:r w:rsidRPr="00873B6C">
              <w:rPr>
                <w:i/>
                <w:iCs/>
                <w:sz w:val="16"/>
                <w:szCs w:val="16"/>
              </w:rPr>
              <w:t>72</w:t>
            </w:r>
          </w:p>
        </w:tc>
        <w:tc>
          <w:tcPr>
            <w:tcW w:w="1605" w:type="dxa"/>
            <w:noWrap/>
            <w:tcMar>
              <w:top w:w="0" w:type="dxa"/>
              <w:left w:w="115" w:type="dxa"/>
              <w:bottom w:w="0" w:type="dxa"/>
              <w:right w:w="115" w:type="dxa"/>
            </w:tcMar>
            <w:vAlign w:val="bottom"/>
            <w:hideMark/>
          </w:tcPr>
          <w:p w14:paraId="02E2B024" w14:textId="77777777" w:rsidR="008E6BFD" w:rsidRPr="00873B6C" w:rsidRDefault="008E6BFD" w:rsidP="00873B6C">
            <w:pPr>
              <w:pStyle w:val="NoSpacing1"/>
              <w:rPr>
                <w:rFonts w:ascii="Calibri" w:eastAsiaTheme="minorHAnsi" w:hAnsi="Calibri"/>
                <w:sz w:val="16"/>
                <w:szCs w:val="16"/>
              </w:rPr>
            </w:pPr>
            <w:r w:rsidRPr="00873B6C">
              <w:rPr>
                <w:color w:val="000000"/>
                <w:sz w:val="16"/>
                <w:szCs w:val="16"/>
              </w:rPr>
              <w:t>76</w:t>
            </w:r>
          </w:p>
        </w:tc>
      </w:tr>
      <w:tr w:rsidR="008E6BFD" w14:paraId="34F7EFA1" w14:textId="77777777" w:rsidTr="001B23C9">
        <w:trPr>
          <w:trHeight w:val="43"/>
        </w:trPr>
        <w:tc>
          <w:tcPr>
            <w:tcW w:w="801" w:type="dxa"/>
            <w:noWrap/>
            <w:tcMar>
              <w:top w:w="0" w:type="dxa"/>
              <w:left w:w="115" w:type="dxa"/>
              <w:bottom w:w="0" w:type="dxa"/>
              <w:right w:w="115" w:type="dxa"/>
            </w:tcMar>
            <w:vAlign w:val="bottom"/>
            <w:hideMark/>
          </w:tcPr>
          <w:p w14:paraId="11507455" w14:textId="77777777" w:rsidR="008E6BFD" w:rsidRPr="00873B6C" w:rsidRDefault="008E6BFD" w:rsidP="00873B6C">
            <w:pPr>
              <w:pStyle w:val="NoSpacing1"/>
              <w:rPr>
                <w:sz w:val="16"/>
                <w:szCs w:val="16"/>
              </w:rPr>
            </w:pPr>
            <w:r w:rsidRPr="00873B6C">
              <w:rPr>
                <w:sz w:val="16"/>
                <w:szCs w:val="16"/>
              </w:rPr>
              <w:t>MD</w:t>
            </w:r>
          </w:p>
        </w:tc>
        <w:tc>
          <w:tcPr>
            <w:tcW w:w="2612" w:type="dxa"/>
            <w:noWrap/>
            <w:tcMar>
              <w:top w:w="0" w:type="dxa"/>
              <w:left w:w="115" w:type="dxa"/>
              <w:bottom w:w="0" w:type="dxa"/>
              <w:right w:w="115" w:type="dxa"/>
            </w:tcMar>
            <w:vAlign w:val="bottom"/>
            <w:hideMark/>
          </w:tcPr>
          <w:p w14:paraId="568B8E6F" w14:textId="77777777" w:rsidR="008E6BFD" w:rsidRPr="00873B6C" w:rsidRDefault="008E6BFD" w:rsidP="00873B6C">
            <w:pPr>
              <w:pStyle w:val="NoSpacing1"/>
              <w:rPr>
                <w:sz w:val="16"/>
                <w:szCs w:val="16"/>
              </w:rPr>
            </w:pPr>
            <w:r w:rsidRPr="00873B6C">
              <w:rPr>
                <w:sz w:val="16"/>
                <w:szCs w:val="16"/>
              </w:rPr>
              <w:t>Fair Hill</w:t>
            </w:r>
          </w:p>
        </w:tc>
        <w:tc>
          <w:tcPr>
            <w:tcW w:w="1026" w:type="dxa"/>
            <w:noWrap/>
            <w:tcMar>
              <w:top w:w="0" w:type="dxa"/>
              <w:left w:w="115" w:type="dxa"/>
              <w:bottom w:w="0" w:type="dxa"/>
              <w:right w:w="115" w:type="dxa"/>
            </w:tcMar>
            <w:vAlign w:val="bottom"/>
            <w:hideMark/>
          </w:tcPr>
          <w:p w14:paraId="42E422F3" w14:textId="77777777" w:rsidR="008E6BFD" w:rsidRPr="00873B6C" w:rsidRDefault="008E6BFD" w:rsidP="00873B6C">
            <w:pPr>
              <w:pStyle w:val="NoSpacing1"/>
              <w:rPr>
                <w:sz w:val="16"/>
                <w:szCs w:val="16"/>
              </w:rPr>
            </w:pPr>
            <w:r w:rsidRPr="00873B6C">
              <w:rPr>
                <w:sz w:val="16"/>
                <w:szCs w:val="16"/>
              </w:rPr>
              <w:t>240150003</w:t>
            </w:r>
          </w:p>
        </w:tc>
        <w:tc>
          <w:tcPr>
            <w:tcW w:w="886" w:type="dxa"/>
            <w:tcBorders>
              <w:top w:val="nil"/>
              <w:left w:val="single" w:sz="8" w:space="0" w:color="auto"/>
              <w:bottom w:val="single" w:sz="8" w:space="0" w:color="auto"/>
              <w:right w:val="single" w:sz="8" w:space="0" w:color="auto"/>
            </w:tcBorders>
            <w:shd w:val="clear" w:color="auto" w:fill="FFC000"/>
            <w:noWrap/>
            <w:tcMar>
              <w:top w:w="0" w:type="dxa"/>
              <w:left w:w="115" w:type="dxa"/>
              <w:bottom w:w="0" w:type="dxa"/>
              <w:right w:w="115" w:type="dxa"/>
            </w:tcMar>
            <w:vAlign w:val="bottom"/>
            <w:hideMark/>
          </w:tcPr>
          <w:p w14:paraId="451D89F6" w14:textId="77777777" w:rsidR="008E6BFD" w:rsidRPr="00873B6C" w:rsidRDefault="008E6BFD" w:rsidP="00873B6C">
            <w:pPr>
              <w:pStyle w:val="NoSpacing1"/>
              <w:rPr>
                <w:sz w:val="16"/>
                <w:szCs w:val="16"/>
              </w:rPr>
            </w:pPr>
            <w:r w:rsidRPr="00873B6C">
              <w:rPr>
                <w:sz w:val="16"/>
                <w:szCs w:val="16"/>
              </w:rPr>
              <w:t>72</w:t>
            </w:r>
          </w:p>
        </w:tc>
        <w:tc>
          <w:tcPr>
            <w:tcW w:w="720" w:type="dxa"/>
            <w:tcBorders>
              <w:top w:val="nil"/>
              <w:left w:val="nil"/>
              <w:bottom w:val="single" w:sz="8" w:space="0" w:color="auto"/>
              <w:right w:val="single" w:sz="8" w:space="0" w:color="auto"/>
            </w:tcBorders>
            <w:shd w:val="clear" w:color="auto" w:fill="FFC000"/>
            <w:noWrap/>
            <w:tcMar>
              <w:top w:w="0" w:type="dxa"/>
              <w:left w:w="115" w:type="dxa"/>
              <w:bottom w:w="0" w:type="dxa"/>
              <w:right w:w="115" w:type="dxa"/>
            </w:tcMar>
            <w:vAlign w:val="bottom"/>
            <w:hideMark/>
          </w:tcPr>
          <w:p w14:paraId="1942795D" w14:textId="77777777" w:rsidR="008E6BFD" w:rsidRPr="00873B6C" w:rsidRDefault="008E6BFD" w:rsidP="00873B6C">
            <w:pPr>
              <w:pStyle w:val="NoSpacing1"/>
              <w:rPr>
                <w:sz w:val="16"/>
                <w:szCs w:val="16"/>
              </w:rPr>
            </w:pPr>
            <w:r w:rsidRPr="00873B6C">
              <w:rPr>
                <w:sz w:val="16"/>
                <w:szCs w:val="16"/>
              </w:rPr>
              <w:t>74</w:t>
            </w:r>
          </w:p>
        </w:tc>
        <w:tc>
          <w:tcPr>
            <w:tcW w:w="900" w:type="dxa"/>
            <w:tcBorders>
              <w:top w:val="nil"/>
              <w:left w:val="nil"/>
              <w:bottom w:val="single" w:sz="8" w:space="0" w:color="auto"/>
              <w:right w:val="single" w:sz="8" w:space="0" w:color="auto"/>
            </w:tcBorders>
            <w:shd w:val="clear" w:color="auto" w:fill="FFC000"/>
            <w:noWrap/>
            <w:tcMar>
              <w:top w:w="0" w:type="dxa"/>
              <w:left w:w="115" w:type="dxa"/>
              <w:bottom w:w="0" w:type="dxa"/>
              <w:right w:w="115" w:type="dxa"/>
            </w:tcMar>
            <w:vAlign w:val="bottom"/>
            <w:hideMark/>
          </w:tcPr>
          <w:p w14:paraId="263693D8" w14:textId="77777777" w:rsidR="008E6BFD" w:rsidRPr="00873B6C" w:rsidRDefault="008E6BFD" w:rsidP="00873B6C">
            <w:pPr>
              <w:pStyle w:val="NoSpacing1"/>
              <w:rPr>
                <w:sz w:val="16"/>
                <w:szCs w:val="16"/>
              </w:rPr>
            </w:pPr>
            <w:r w:rsidRPr="00873B6C">
              <w:rPr>
                <w:sz w:val="16"/>
                <w:szCs w:val="16"/>
              </w:rPr>
              <w:t>74</w:t>
            </w:r>
          </w:p>
        </w:tc>
        <w:tc>
          <w:tcPr>
            <w:tcW w:w="825" w:type="dxa"/>
            <w:tcBorders>
              <w:top w:val="nil"/>
              <w:left w:val="nil"/>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16D27BA5" w14:textId="77777777" w:rsidR="008E6BFD" w:rsidRPr="00873B6C" w:rsidRDefault="008E6BFD" w:rsidP="00873B6C">
            <w:pPr>
              <w:pStyle w:val="NoSpacing1"/>
              <w:rPr>
                <w:sz w:val="16"/>
                <w:szCs w:val="16"/>
              </w:rPr>
            </w:pPr>
            <w:r w:rsidRPr="00873B6C">
              <w:rPr>
                <w:i/>
                <w:iCs/>
                <w:sz w:val="16"/>
                <w:szCs w:val="16"/>
              </w:rPr>
              <w:t>80</w:t>
            </w:r>
          </w:p>
        </w:tc>
        <w:tc>
          <w:tcPr>
            <w:tcW w:w="1605" w:type="dxa"/>
            <w:noWrap/>
            <w:tcMar>
              <w:top w:w="0" w:type="dxa"/>
              <w:left w:w="115" w:type="dxa"/>
              <w:bottom w:w="0" w:type="dxa"/>
              <w:right w:w="115" w:type="dxa"/>
            </w:tcMar>
            <w:vAlign w:val="bottom"/>
            <w:hideMark/>
          </w:tcPr>
          <w:p w14:paraId="1CD510F3" w14:textId="77777777" w:rsidR="008E6BFD" w:rsidRPr="00873B6C" w:rsidRDefault="008E6BFD" w:rsidP="00873B6C">
            <w:pPr>
              <w:pStyle w:val="NoSpacing1"/>
              <w:rPr>
                <w:rFonts w:ascii="Calibri" w:eastAsiaTheme="minorHAnsi" w:hAnsi="Calibri"/>
                <w:sz w:val="16"/>
                <w:szCs w:val="16"/>
              </w:rPr>
            </w:pPr>
            <w:r w:rsidRPr="00873B6C">
              <w:rPr>
                <w:color w:val="000000"/>
                <w:sz w:val="16"/>
                <w:szCs w:val="16"/>
              </w:rPr>
              <w:t>75</w:t>
            </w:r>
          </w:p>
        </w:tc>
      </w:tr>
      <w:tr w:rsidR="008E6BFD" w14:paraId="693E8A84" w14:textId="77777777" w:rsidTr="001B23C9">
        <w:trPr>
          <w:trHeight w:val="43"/>
        </w:trPr>
        <w:tc>
          <w:tcPr>
            <w:tcW w:w="801" w:type="dxa"/>
            <w:noWrap/>
            <w:tcMar>
              <w:top w:w="0" w:type="dxa"/>
              <w:left w:w="115" w:type="dxa"/>
              <w:bottom w:w="0" w:type="dxa"/>
              <w:right w:w="115" w:type="dxa"/>
            </w:tcMar>
            <w:vAlign w:val="bottom"/>
            <w:hideMark/>
          </w:tcPr>
          <w:p w14:paraId="26B0B38E" w14:textId="77777777" w:rsidR="008E6BFD" w:rsidRPr="00873B6C" w:rsidRDefault="008E6BFD" w:rsidP="00873B6C">
            <w:pPr>
              <w:pStyle w:val="NoSpacing1"/>
              <w:rPr>
                <w:sz w:val="16"/>
                <w:szCs w:val="16"/>
              </w:rPr>
            </w:pPr>
            <w:r w:rsidRPr="00873B6C">
              <w:rPr>
                <w:sz w:val="16"/>
                <w:szCs w:val="16"/>
              </w:rPr>
              <w:t>NY</w:t>
            </w:r>
          </w:p>
        </w:tc>
        <w:tc>
          <w:tcPr>
            <w:tcW w:w="2612" w:type="dxa"/>
            <w:noWrap/>
            <w:tcMar>
              <w:top w:w="0" w:type="dxa"/>
              <w:left w:w="115" w:type="dxa"/>
              <w:bottom w:w="0" w:type="dxa"/>
              <w:right w:w="115" w:type="dxa"/>
            </w:tcMar>
            <w:vAlign w:val="bottom"/>
            <w:hideMark/>
          </w:tcPr>
          <w:p w14:paraId="63E50DAC" w14:textId="77777777" w:rsidR="008E6BFD" w:rsidRPr="00873B6C" w:rsidRDefault="008E6BFD" w:rsidP="00873B6C">
            <w:pPr>
              <w:pStyle w:val="NoSpacing1"/>
              <w:rPr>
                <w:sz w:val="16"/>
                <w:szCs w:val="16"/>
              </w:rPr>
            </w:pPr>
            <w:r w:rsidRPr="00873B6C">
              <w:rPr>
                <w:sz w:val="16"/>
                <w:szCs w:val="16"/>
              </w:rPr>
              <w:t>NYC-Susan Wagner HS</w:t>
            </w:r>
          </w:p>
        </w:tc>
        <w:tc>
          <w:tcPr>
            <w:tcW w:w="1026" w:type="dxa"/>
            <w:noWrap/>
            <w:tcMar>
              <w:top w:w="0" w:type="dxa"/>
              <w:left w:w="115" w:type="dxa"/>
              <w:bottom w:w="0" w:type="dxa"/>
              <w:right w:w="115" w:type="dxa"/>
            </w:tcMar>
            <w:vAlign w:val="bottom"/>
            <w:hideMark/>
          </w:tcPr>
          <w:p w14:paraId="654A7D70" w14:textId="77777777" w:rsidR="008E6BFD" w:rsidRPr="00873B6C" w:rsidRDefault="008E6BFD" w:rsidP="00873B6C">
            <w:pPr>
              <w:pStyle w:val="NoSpacing1"/>
              <w:rPr>
                <w:sz w:val="16"/>
                <w:szCs w:val="16"/>
              </w:rPr>
            </w:pPr>
            <w:r w:rsidRPr="00873B6C">
              <w:rPr>
                <w:sz w:val="16"/>
                <w:szCs w:val="16"/>
              </w:rPr>
              <w:t>360850067</w:t>
            </w:r>
          </w:p>
        </w:tc>
        <w:tc>
          <w:tcPr>
            <w:tcW w:w="886" w:type="dxa"/>
            <w:tcBorders>
              <w:top w:val="nil"/>
              <w:left w:val="single" w:sz="8" w:space="0" w:color="auto"/>
              <w:bottom w:val="single" w:sz="8" w:space="0" w:color="auto"/>
              <w:right w:val="single" w:sz="8" w:space="0" w:color="auto"/>
            </w:tcBorders>
            <w:shd w:val="clear" w:color="auto" w:fill="FFC000"/>
            <w:noWrap/>
            <w:tcMar>
              <w:top w:w="0" w:type="dxa"/>
              <w:left w:w="115" w:type="dxa"/>
              <w:bottom w:w="0" w:type="dxa"/>
              <w:right w:w="115" w:type="dxa"/>
            </w:tcMar>
            <w:vAlign w:val="bottom"/>
            <w:hideMark/>
          </w:tcPr>
          <w:p w14:paraId="75BB187C" w14:textId="77777777" w:rsidR="008E6BFD" w:rsidRPr="00873B6C" w:rsidRDefault="008E6BFD" w:rsidP="00873B6C">
            <w:pPr>
              <w:pStyle w:val="NoSpacing1"/>
              <w:rPr>
                <w:sz w:val="16"/>
                <w:szCs w:val="16"/>
              </w:rPr>
            </w:pPr>
            <w:r w:rsidRPr="00873B6C">
              <w:rPr>
                <w:sz w:val="16"/>
                <w:szCs w:val="16"/>
              </w:rPr>
              <w:t>71</w:t>
            </w:r>
          </w:p>
        </w:tc>
        <w:tc>
          <w:tcPr>
            <w:tcW w:w="720" w:type="dxa"/>
            <w:tcBorders>
              <w:top w:val="nil"/>
              <w:left w:val="nil"/>
              <w:bottom w:val="single" w:sz="8" w:space="0" w:color="auto"/>
              <w:right w:val="single" w:sz="8" w:space="0" w:color="auto"/>
            </w:tcBorders>
            <w:shd w:val="clear" w:color="auto" w:fill="FFC000"/>
            <w:noWrap/>
            <w:tcMar>
              <w:top w:w="0" w:type="dxa"/>
              <w:left w:w="115" w:type="dxa"/>
              <w:bottom w:w="0" w:type="dxa"/>
              <w:right w:w="115" w:type="dxa"/>
            </w:tcMar>
            <w:vAlign w:val="bottom"/>
            <w:hideMark/>
          </w:tcPr>
          <w:p w14:paraId="25A75558" w14:textId="77777777" w:rsidR="008E6BFD" w:rsidRPr="00873B6C" w:rsidRDefault="008E6BFD" w:rsidP="00873B6C">
            <w:pPr>
              <w:pStyle w:val="NoSpacing1"/>
              <w:rPr>
                <w:sz w:val="16"/>
                <w:szCs w:val="16"/>
              </w:rPr>
            </w:pPr>
            <w:r w:rsidRPr="00873B6C">
              <w:rPr>
                <w:sz w:val="16"/>
                <w:szCs w:val="16"/>
              </w:rPr>
              <w:t>72</w:t>
            </w:r>
          </w:p>
        </w:tc>
        <w:tc>
          <w:tcPr>
            <w:tcW w:w="900" w:type="dxa"/>
            <w:tcBorders>
              <w:top w:val="nil"/>
              <w:left w:val="nil"/>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1F81D408" w14:textId="77777777" w:rsidR="008E6BFD" w:rsidRPr="00873B6C" w:rsidRDefault="008E6BFD" w:rsidP="00873B6C">
            <w:pPr>
              <w:pStyle w:val="NoSpacing1"/>
              <w:rPr>
                <w:sz w:val="16"/>
                <w:szCs w:val="16"/>
              </w:rPr>
            </w:pPr>
            <w:r w:rsidRPr="00873B6C">
              <w:rPr>
                <w:sz w:val="16"/>
                <w:szCs w:val="16"/>
              </w:rPr>
              <w:t>79</w:t>
            </w:r>
          </w:p>
        </w:tc>
        <w:tc>
          <w:tcPr>
            <w:tcW w:w="825" w:type="dxa"/>
            <w:tcBorders>
              <w:top w:val="nil"/>
              <w:left w:val="nil"/>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52B0002F" w14:textId="77777777" w:rsidR="008E6BFD" w:rsidRPr="00873B6C" w:rsidRDefault="008E6BFD" w:rsidP="00873B6C">
            <w:pPr>
              <w:pStyle w:val="NoSpacing1"/>
              <w:rPr>
                <w:sz w:val="16"/>
                <w:szCs w:val="16"/>
              </w:rPr>
            </w:pPr>
            <w:r w:rsidRPr="00873B6C">
              <w:rPr>
                <w:i/>
                <w:iCs/>
                <w:sz w:val="16"/>
                <w:szCs w:val="16"/>
              </w:rPr>
              <w:t>77</w:t>
            </w:r>
          </w:p>
        </w:tc>
        <w:tc>
          <w:tcPr>
            <w:tcW w:w="1605" w:type="dxa"/>
            <w:noWrap/>
            <w:tcMar>
              <w:top w:w="0" w:type="dxa"/>
              <w:left w:w="115" w:type="dxa"/>
              <w:bottom w:w="0" w:type="dxa"/>
              <w:right w:w="115" w:type="dxa"/>
            </w:tcMar>
            <w:vAlign w:val="bottom"/>
            <w:hideMark/>
          </w:tcPr>
          <w:p w14:paraId="45264C01" w14:textId="77777777" w:rsidR="008E6BFD" w:rsidRPr="00873B6C" w:rsidRDefault="008E6BFD" w:rsidP="00873B6C">
            <w:pPr>
              <w:pStyle w:val="NoSpacing1"/>
              <w:rPr>
                <w:rFonts w:ascii="Calibri" w:eastAsiaTheme="minorHAnsi" w:hAnsi="Calibri"/>
                <w:sz w:val="16"/>
                <w:szCs w:val="16"/>
              </w:rPr>
            </w:pPr>
            <w:r w:rsidRPr="00873B6C">
              <w:rPr>
                <w:color w:val="000000"/>
                <w:sz w:val="16"/>
                <w:szCs w:val="16"/>
              </w:rPr>
              <w:t>75</w:t>
            </w:r>
          </w:p>
        </w:tc>
      </w:tr>
      <w:tr w:rsidR="008E6BFD" w14:paraId="73D03761" w14:textId="77777777" w:rsidTr="001B23C9">
        <w:trPr>
          <w:trHeight w:val="43"/>
        </w:trPr>
        <w:tc>
          <w:tcPr>
            <w:tcW w:w="801" w:type="dxa"/>
            <w:noWrap/>
            <w:tcMar>
              <w:top w:w="0" w:type="dxa"/>
              <w:left w:w="115" w:type="dxa"/>
              <w:bottom w:w="0" w:type="dxa"/>
              <w:right w:w="115" w:type="dxa"/>
            </w:tcMar>
            <w:vAlign w:val="bottom"/>
            <w:hideMark/>
          </w:tcPr>
          <w:p w14:paraId="1F54E716" w14:textId="77777777" w:rsidR="008E6BFD" w:rsidRPr="00873B6C" w:rsidRDefault="008E6BFD" w:rsidP="00873B6C">
            <w:pPr>
              <w:pStyle w:val="NoSpacing1"/>
              <w:rPr>
                <w:sz w:val="16"/>
                <w:szCs w:val="16"/>
              </w:rPr>
            </w:pPr>
            <w:r w:rsidRPr="00873B6C">
              <w:rPr>
                <w:sz w:val="16"/>
                <w:szCs w:val="16"/>
              </w:rPr>
              <w:t>PA</w:t>
            </w:r>
          </w:p>
        </w:tc>
        <w:tc>
          <w:tcPr>
            <w:tcW w:w="2612" w:type="dxa"/>
            <w:noWrap/>
            <w:tcMar>
              <w:top w:w="0" w:type="dxa"/>
              <w:left w:w="115" w:type="dxa"/>
              <w:bottom w:w="0" w:type="dxa"/>
              <w:right w:w="115" w:type="dxa"/>
            </w:tcMar>
            <w:vAlign w:val="bottom"/>
            <w:hideMark/>
          </w:tcPr>
          <w:p w14:paraId="1731F782" w14:textId="77777777" w:rsidR="008E6BFD" w:rsidRPr="00873B6C" w:rsidRDefault="008E6BFD" w:rsidP="00873B6C">
            <w:pPr>
              <w:pStyle w:val="NoSpacing1"/>
              <w:rPr>
                <w:sz w:val="16"/>
                <w:szCs w:val="16"/>
              </w:rPr>
            </w:pPr>
            <w:r w:rsidRPr="00873B6C">
              <w:rPr>
                <w:sz w:val="16"/>
                <w:szCs w:val="16"/>
              </w:rPr>
              <w:t>NEA</w:t>
            </w:r>
          </w:p>
        </w:tc>
        <w:tc>
          <w:tcPr>
            <w:tcW w:w="1026" w:type="dxa"/>
            <w:noWrap/>
            <w:tcMar>
              <w:top w:w="0" w:type="dxa"/>
              <w:left w:w="115" w:type="dxa"/>
              <w:bottom w:w="0" w:type="dxa"/>
              <w:right w:w="115" w:type="dxa"/>
            </w:tcMar>
            <w:vAlign w:val="bottom"/>
            <w:hideMark/>
          </w:tcPr>
          <w:p w14:paraId="72F0F8C3" w14:textId="77777777" w:rsidR="008E6BFD" w:rsidRPr="00873B6C" w:rsidRDefault="008E6BFD" w:rsidP="00873B6C">
            <w:pPr>
              <w:pStyle w:val="NoSpacing1"/>
              <w:rPr>
                <w:sz w:val="16"/>
                <w:szCs w:val="16"/>
              </w:rPr>
            </w:pPr>
            <w:r w:rsidRPr="00873B6C">
              <w:rPr>
                <w:sz w:val="16"/>
                <w:szCs w:val="16"/>
              </w:rPr>
              <w:t>421010024</w:t>
            </w:r>
          </w:p>
        </w:tc>
        <w:tc>
          <w:tcPr>
            <w:tcW w:w="886" w:type="dxa"/>
            <w:tcBorders>
              <w:top w:val="nil"/>
              <w:left w:val="single" w:sz="8" w:space="0" w:color="auto"/>
              <w:bottom w:val="single" w:sz="8" w:space="0" w:color="auto"/>
              <w:right w:val="single" w:sz="8" w:space="0" w:color="auto"/>
            </w:tcBorders>
            <w:noWrap/>
            <w:tcMar>
              <w:top w:w="0" w:type="dxa"/>
              <w:left w:w="115" w:type="dxa"/>
              <w:bottom w:w="0" w:type="dxa"/>
              <w:right w:w="115" w:type="dxa"/>
            </w:tcMar>
            <w:vAlign w:val="bottom"/>
            <w:hideMark/>
          </w:tcPr>
          <w:p w14:paraId="21843612" w14:textId="77777777" w:rsidR="008E6BFD" w:rsidRPr="00873B6C" w:rsidRDefault="008E6BFD" w:rsidP="00873B6C">
            <w:pPr>
              <w:pStyle w:val="NoSpacing1"/>
              <w:rPr>
                <w:sz w:val="16"/>
                <w:szCs w:val="16"/>
              </w:rPr>
            </w:pPr>
            <w:r w:rsidRPr="00873B6C">
              <w:rPr>
                <w:sz w:val="16"/>
                <w:szCs w:val="16"/>
              </w:rPr>
              <w:t>68</w:t>
            </w:r>
          </w:p>
        </w:tc>
        <w:tc>
          <w:tcPr>
            <w:tcW w:w="720" w:type="dxa"/>
            <w:tcBorders>
              <w:top w:val="nil"/>
              <w:left w:val="nil"/>
              <w:bottom w:val="single" w:sz="8" w:space="0" w:color="auto"/>
              <w:right w:val="single" w:sz="8" w:space="0" w:color="auto"/>
            </w:tcBorders>
            <w:shd w:val="clear" w:color="auto" w:fill="FFC000"/>
            <w:noWrap/>
            <w:tcMar>
              <w:top w:w="0" w:type="dxa"/>
              <w:left w:w="115" w:type="dxa"/>
              <w:bottom w:w="0" w:type="dxa"/>
              <w:right w:w="115" w:type="dxa"/>
            </w:tcMar>
            <w:vAlign w:val="bottom"/>
            <w:hideMark/>
          </w:tcPr>
          <w:p w14:paraId="681B134C" w14:textId="77777777" w:rsidR="008E6BFD" w:rsidRPr="00873B6C" w:rsidRDefault="008E6BFD" w:rsidP="00873B6C">
            <w:pPr>
              <w:pStyle w:val="NoSpacing1"/>
              <w:rPr>
                <w:sz w:val="16"/>
                <w:szCs w:val="16"/>
              </w:rPr>
            </w:pPr>
            <w:r w:rsidRPr="00873B6C">
              <w:rPr>
                <w:sz w:val="16"/>
                <w:szCs w:val="16"/>
              </w:rPr>
              <w:t>72</w:t>
            </w:r>
          </w:p>
        </w:tc>
        <w:tc>
          <w:tcPr>
            <w:tcW w:w="900" w:type="dxa"/>
            <w:tcBorders>
              <w:top w:val="nil"/>
              <w:left w:val="nil"/>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71C044BD" w14:textId="77777777" w:rsidR="008E6BFD" w:rsidRPr="00873B6C" w:rsidRDefault="008E6BFD" w:rsidP="00873B6C">
            <w:pPr>
              <w:pStyle w:val="NoSpacing1"/>
              <w:rPr>
                <w:sz w:val="16"/>
                <w:szCs w:val="16"/>
              </w:rPr>
            </w:pPr>
            <w:r w:rsidRPr="00873B6C">
              <w:rPr>
                <w:sz w:val="16"/>
                <w:szCs w:val="16"/>
              </w:rPr>
              <w:t>79</w:t>
            </w:r>
          </w:p>
        </w:tc>
        <w:tc>
          <w:tcPr>
            <w:tcW w:w="825" w:type="dxa"/>
            <w:tcBorders>
              <w:top w:val="nil"/>
              <w:left w:val="nil"/>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781A09B5" w14:textId="77777777" w:rsidR="008E6BFD" w:rsidRPr="00873B6C" w:rsidRDefault="008E6BFD" w:rsidP="00873B6C">
            <w:pPr>
              <w:pStyle w:val="NoSpacing1"/>
              <w:rPr>
                <w:sz w:val="16"/>
                <w:szCs w:val="16"/>
              </w:rPr>
            </w:pPr>
            <w:r w:rsidRPr="00873B6C">
              <w:rPr>
                <w:i/>
                <w:iCs/>
                <w:sz w:val="16"/>
                <w:szCs w:val="16"/>
              </w:rPr>
              <w:t>80</w:t>
            </w:r>
          </w:p>
        </w:tc>
        <w:tc>
          <w:tcPr>
            <w:tcW w:w="1605" w:type="dxa"/>
            <w:noWrap/>
            <w:tcMar>
              <w:top w:w="0" w:type="dxa"/>
              <w:left w:w="115" w:type="dxa"/>
              <w:bottom w:w="0" w:type="dxa"/>
              <w:right w:w="115" w:type="dxa"/>
            </w:tcMar>
            <w:vAlign w:val="bottom"/>
            <w:hideMark/>
          </w:tcPr>
          <w:p w14:paraId="27AEB130" w14:textId="77777777" w:rsidR="008E6BFD" w:rsidRPr="00873B6C" w:rsidRDefault="008E6BFD" w:rsidP="00873B6C">
            <w:pPr>
              <w:pStyle w:val="NoSpacing1"/>
              <w:rPr>
                <w:rFonts w:ascii="Calibri" w:eastAsiaTheme="minorHAnsi" w:hAnsi="Calibri"/>
                <w:sz w:val="16"/>
                <w:szCs w:val="16"/>
              </w:rPr>
            </w:pPr>
            <w:r w:rsidRPr="00873B6C">
              <w:rPr>
                <w:color w:val="000000"/>
                <w:sz w:val="16"/>
                <w:szCs w:val="16"/>
              </w:rPr>
              <w:t>75</w:t>
            </w:r>
          </w:p>
        </w:tc>
      </w:tr>
      <w:tr w:rsidR="008E6BFD" w14:paraId="2EA67943" w14:textId="77777777" w:rsidTr="001B23C9">
        <w:trPr>
          <w:trHeight w:val="43"/>
        </w:trPr>
        <w:tc>
          <w:tcPr>
            <w:tcW w:w="801" w:type="dxa"/>
            <w:noWrap/>
            <w:tcMar>
              <w:top w:w="0" w:type="dxa"/>
              <w:left w:w="115" w:type="dxa"/>
              <w:bottom w:w="0" w:type="dxa"/>
              <w:right w:w="115" w:type="dxa"/>
            </w:tcMar>
            <w:vAlign w:val="bottom"/>
            <w:hideMark/>
          </w:tcPr>
          <w:p w14:paraId="15E9863E" w14:textId="77777777" w:rsidR="008E6BFD" w:rsidRPr="00873B6C" w:rsidRDefault="008E6BFD" w:rsidP="00873B6C">
            <w:pPr>
              <w:pStyle w:val="NoSpacing1"/>
              <w:rPr>
                <w:sz w:val="16"/>
                <w:szCs w:val="16"/>
              </w:rPr>
            </w:pPr>
            <w:r w:rsidRPr="00873B6C">
              <w:rPr>
                <w:sz w:val="16"/>
                <w:szCs w:val="16"/>
              </w:rPr>
              <w:t>NJ</w:t>
            </w:r>
          </w:p>
        </w:tc>
        <w:tc>
          <w:tcPr>
            <w:tcW w:w="2612" w:type="dxa"/>
            <w:noWrap/>
            <w:tcMar>
              <w:top w:w="0" w:type="dxa"/>
              <w:left w:w="115" w:type="dxa"/>
              <w:bottom w:w="0" w:type="dxa"/>
              <w:right w:w="115" w:type="dxa"/>
            </w:tcMar>
            <w:vAlign w:val="bottom"/>
            <w:hideMark/>
          </w:tcPr>
          <w:p w14:paraId="3ACFB1B2" w14:textId="77777777" w:rsidR="008E6BFD" w:rsidRPr="00873B6C" w:rsidRDefault="008E6BFD" w:rsidP="00873B6C">
            <w:pPr>
              <w:pStyle w:val="NoSpacing1"/>
              <w:rPr>
                <w:sz w:val="16"/>
                <w:szCs w:val="16"/>
              </w:rPr>
            </w:pPr>
            <w:r w:rsidRPr="00873B6C">
              <w:rPr>
                <w:sz w:val="16"/>
                <w:szCs w:val="16"/>
              </w:rPr>
              <w:t>Leonia</w:t>
            </w:r>
          </w:p>
        </w:tc>
        <w:tc>
          <w:tcPr>
            <w:tcW w:w="1026" w:type="dxa"/>
            <w:noWrap/>
            <w:tcMar>
              <w:top w:w="0" w:type="dxa"/>
              <w:left w:w="115" w:type="dxa"/>
              <w:bottom w:w="0" w:type="dxa"/>
              <w:right w:w="115" w:type="dxa"/>
            </w:tcMar>
            <w:vAlign w:val="bottom"/>
            <w:hideMark/>
          </w:tcPr>
          <w:p w14:paraId="4CE0C3D8" w14:textId="77777777" w:rsidR="008E6BFD" w:rsidRPr="00873B6C" w:rsidRDefault="008E6BFD" w:rsidP="00873B6C">
            <w:pPr>
              <w:pStyle w:val="NoSpacing1"/>
              <w:rPr>
                <w:sz w:val="16"/>
                <w:szCs w:val="16"/>
              </w:rPr>
            </w:pPr>
            <w:r w:rsidRPr="00873B6C">
              <w:rPr>
                <w:sz w:val="16"/>
                <w:szCs w:val="16"/>
              </w:rPr>
              <w:t>340030006</w:t>
            </w:r>
          </w:p>
        </w:tc>
        <w:tc>
          <w:tcPr>
            <w:tcW w:w="886" w:type="dxa"/>
            <w:tcBorders>
              <w:top w:val="nil"/>
              <w:left w:val="single" w:sz="8" w:space="0" w:color="auto"/>
              <w:bottom w:val="single" w:sz="8" w:space="0" w:color="auto"/>
              <w:right w:val="single" w:sz="8" w:space="0" w:color="auto"/>
            </w:tcBorders>
            <w:shd w:val="clear" w:color="auto" w:fill="FFC000"/>
            <w:noWrap/>
            <w:tcMar>
              <w:top w:w="0" w:type="dxa"/>
              <w:left w:w="115" w:type="dxa"/>
              <w:bottom w:w="0" w:type="dxa"/>
              <w:right w:w="115" w:type="dxa"/>
            </w:tcMar>
            <w:vAlign w:val="bottom"/>
            <w:hideMark/>
          </w:tcPr>
          <w:p w14:paraId="65C60890" w14:textId="77777777" w:rsidR="008E6BFD" w:rsidRPr="00873B6C" w:rsidRDefault="008E6BFD" w:rsidP="00873B6C">
            <w:pPr>
              <w:pStyle w:val="NoSpacing1"/>
              <w:rPr>
                <w:sz w:val="16"/>
                <w:szCs w:val="16"/>
              </w:rPr>
            </w:pPr>
            <w:r w:rsidRPr="00873B6C">
              <w:rPr>
                <w:sz w:val="16"/>
                <w:szCs w:val="16"/>
              </w:rPr>
              <w:t>74</w:t>
            </w:r>
          </w:p>
        </w:tc>
        <w:tc>
          <w:tcPr>
            <w:tcW w:w="720" w:type="dxa"/>
            <w:tcBorders>
              <w:top w:val="nil"/>
              <w:left w:val="nil"/>
              <w:bottom w:val="single" w:sz="8" w:space="0" w:color="auto"/>
              <w:right w:val="single" w:sz="8" w:space="0" w:color="auto"/>
            </w:tcBorders>
            <w:shd w:val="clear" w:color="auto" w:fill="FFC000"/>
            <w:noWrap/>
            <w:tcMar>
              <w:top w:w="0" w:type="dxa"/>
              <w:left w:w="115" w:type="dxa"/>
              <w:bottom w:w="0" w:type="dxa"/>
              <w:right w:w="115" w:type="dxa"/>
            </w:tcMar>
            <w:vAlign w:val="bottom"/>
            <w:hideMark/>
          </w:tcPr>
          <w:p w14:paraId="79436702" w14:textId="77777777" w:rsidR="008E6BFD" w:rsidRPr="00873B6C" w:rsidRDefault="008E6BFD" w:rsidP="00873B6C">
            <w:pPr>
              <w:pStyle w:val="NoSpacing1"/>
              <w:rPr>
                <w:sz w:val="16"/>
                <w:szCs w:val="16"/>
              </w:rPr>
            </w:pPr>
            <w:r w:rsidRPr="00873B6C">
              <w:rPr>
                <w:sz w:val="16"/>
                <w:szCs w:val="16"/>
              </w:rPr>
              <w:t>73</w:t>
            </w:r>
          </w:p>
        </w:tc>
        <w:tc>
          <w:tcPr>
            <w:tcW w:w="900" w:type="dxa"/>
            <w:tcBorders>
              <w:top w:val="nil"/>
              <w:left w:val="nil"/>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29D3AABE" w14:textId="77777777" w:rsidR="008E6BFD" w:rsidRPr="00873B6C" w:rsidRDefault="008E6BFD" w:rsidP="00873B6C">
            <w:pPr>
              <w:pStyle w:val="NoSpacing1"/>
              <w:rPr>
                <w:sz w:val="16"/>
                <w:szCs w:val="16"/>
              </w:rPr>
            </w:pPr>
            <w:r w:rsidRPr="00873B6C">
              <w:rPr>
                <w:sz w:val="16"/>
                <w:szCs w:val="16"/>
              </w:rPr>
              <w:t>76</w:t>
            </w:r>
          </w:p>
        </w:tc>
        <w:tc>
          <w:tcPr>
            <w:tcW w:w="825" w:type="dxa"/>
            <w:tcBorders>
              <w:top w:val="nil"/>
              <w:left w:val="nil"/>
              <w:bottom w:val="single" w:sz="8" w:space="0" w:color="auto"/>
              <w:right w:val="single" w:sz="8" w:space="0" w:color="auto"/>
            </w:tcBorders>
            <w:shd w:val="clear" w:color="auto" w:fill="FFC000"/>
            <w:noWrap/>
            <w:tcMar>
              <w:top w:w="0" w:type="dxa"/>
              <w:left w:w="115" w:type="dxa"/>
              <w:bottom w:w="0" w:type="dxa"/>
              <w:right w:w="115" w:type="dxa"/>
            </w:tcMar>
            <w:vAlign w:val="bottom"/>
            <w:hideMark/>
          </w:tcPr>
          <w:p w14:paraId="384A0DF8" w14:textId="77777777" w:rsidR="008E6BFD" w:rsidRPr="00873B6C" w:rsidRDefault="008E6BFD" w:rsidP="00873B6C">
            <w:pPr>
              <w:pStyle w:val="NoSpacing1"/>
              <w:rPr>
                <w:sz w:val="16"/>
                <w:szCs w:val="16"/>
              </w:rPr>
            </w:pPr>
            <w:r w:rsidRPr="00873B6C">
              <w:rPr>
                <w:i/>
                <w:iCs/>
                <w:sz w:val="16"/>
                <w:szCs w:val="16"/>
              </w:rPr>
              <w:t>75</w:t>
            </w:r>
          </w:p>
        </w:tc>
        <w:tc>
          <w:tcPr>
            <w:tcW w:w="1605" w:type="dxa"/>
            <w:noWrap/>
            <w:tcMar>
              <w:top w:w="0" w:type="dxa"/>
              <w:left w:w="115" w:type="dxa"/>
              <w:bottom w:w="0" w:type="dxa"/>
              <w:right w:w="115" w:type="dxa"/>
            </w:tcMar>
            <w:vAlign w:val="bottom"/>
            <w:hideMark/>
          </w:tcPr>
          <w:p w14:paraId="79FB0973" w14:textId="77777777" w:rsidR="008E6BFD" w:rsidRPr="00873B6C" w:rsidRDefault="008E6BFD" w:rsidP="00873B6C">
            <w:pPr>
              <w:pStyle w:val="NoSpacing1"/>
              <w:rPr>
                <w:rFonts w:ascii="Calibri" w:eastAsiaTheme="minorHAnsi" w:hAnsi="Calibri"/>
                <w:sz w:val="16"/>
                <w:szCs w:val="16"/>
              </w:rPr>
            </w:pPr>
            <w:r w:rsidRPr="00873B6C">
              <w:rPr>
                <w:color w:val="000000"/>
                <w:sz w:val="16"/>
                <w:szCs w:val="16"/>
              </w:rPr>
              <w:t>75</w:t>
            </w:r>
          </w:p>
        </w:tc>
      </w:tr>
      <w:tr w:rsidR="008E6BFD" w14:paraId="47BBA327" w14:textId="77777777" w:rsidTr="001B23C9">
        <w:trPr>
          <w:trHeight w:val="43"/>
        </w:trPr>
        <w:tc>
          <w:tcPr>
            <w:tcW w:w="801" w:type="dxa"/>
            <w:noWrap/>
            <w:tcMar>
              <w:top w:w="0" w:type="dxa"/>
              <w:left w:w="115" w:type="dxa"/>
              <w:bottom w:w="0" w:type="dxa"/>
              <w:right w:w="115" w:type="dxa"/>
            </w:tcMar>
            <w:vAlign w:val="bottom"/>
            <w:hideMark/>
          </w:tcPr>
          <w:p w14:paraId="4386DC2D" w14:textId="77777777" w:rsidR="008E6BFD" w:rsidRPr="00873B6C" w:rsidRDefault="008E6BFD" w:rsidP="00873B6C">
            <w:pPr>
              <w:pStyle w:val="NoSpacing1"/>
              <w:rPr>
                <w:sz w:val="16"/>
                <w:szCs w:val="16"/>
              </w:rPr>
            </w:pPr>
            <w:r w:rsidRPr="00873B6C">
              <w:rPr>
                <w:sz w:val="16"/>
                <w:szCs w:val="16"/>
              </w:rPr>
              <w:t>NY</w:t>
            </w:r>
          </w:p>
        </w:tc>
        <w:tc>
          <w:tcPr>
            <w:tcW w:w="2612" w:type="dxa"/>
            <w:noWrap/>
            <w:tcMar>
              <w:top w:w="0" w:type="dxa"/>
              <w:left w:w="115" w:type="dxa"/>
              <w:bottom w:w="0" w:type="dxa"/>
              <w:right w:w="115" w:type="dxa"/>
            </w:tcMar>
            <w:vAlign w:val="bottom"/>
            <w:hideMark/>
          </w:tcPr>
          <w:p w14:paraId="27B98636" w14:textId="77777777" w:rsidR="008E6BFD" w:rsidRPr="00873B6C" w:rsidRDefault="008E6BFD" w:rsidP="00873B6C">
            <w:pPr>
              <w:pStyle w:val="NoSpacing1"/>
              <w:rPr>
                <w:sz w:val="16"/>
                <w:szCs w:val="16"/>
              </w:rPr>
            </w:pPr>
            <w:r w:rsidRPr="00873B6C">
              <w:rPr>
                <w:sz w:val="16"/>
                <w:szCs w:val="16"/>
              </w:rPr>
              <w:t>Riverhead</w:t>
            </w:r>
          </w:p>
        </w:tc>
        <w:tc>
          <w:tcPr>
            <w:tcW w:w="1026" w:type="dxa"/>
            <w:noWrap/>
            <w:tcMar>
              <w:top w:w="0" w:type="dxa"/>
              <w:left w:w="115" w:type="dxa"/>
              <w:bottom w:w="0" w:type="dxa"/>
              <w:right w:w="115" w:type="dxa"/>
            </w:tcMar>
            <w:vAlign w:val="bottom"/>
            <w:hideMark/>
          </w:tcPr>
          <w:p w14:paraId="135E939F" w14:textId="77777777" w:rsidR="008E6BFD" w:rsidRPr="00873B6C" w:rsidRDefault="008E6BFD" w:rsidP="00873B6C">
            <w:pPr>
              <w:pStyle w:val="NoSpacing1"/>
              <w:rPr>
                <w:sz w:val="16"/>
                <w:szCs w:val="16"/>
              </w:rPr>
            </w:pPr>
            <w:r w:rsidRPr="00873B6C">
              <w:rPr>
                <w:sz w:val="16"/>
                <w:szCs w:val="16"/>
              </w:rPr>
              <w:t>361030004</w:t>
            </w:r>
          </w:p>
        </w:tc>
        <w:tc>
          <w:tcPr>
            <w:tcW w:w="886" w:type="dxa"/>
            <w:tcBorders>
              <w:top w:val="nil"/>
              <w:left w:val="single" w:sz="8" w:space="0" w:color="auto"/>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2E51F19C" w14:textId="77777777" w:rsidR="008E6BFD" w:rsidRPr="00873B6C" w:rsidRDefault="008E6BFD" w:rsidP="00873B6C">
            <w:pPr>
              <w:pStyle w:val="NoSpacing1"/>
              <w:rPr>
                <w:sz w:val="16"/>
                <w:szCs w:val="16"/>
              </w:rPr>
            </w:pPr>
            <w:r w:rsidRPr="00873B6C">
              <w:rPr>
                <w:sz w:val="16"/>
                <w:szCs w:val="16"/>
              </w:rPr>
              <w:t>78</w:t>
            </w:r>
          </w:p>
        </w:tc>
        <w:tc>
          <w:tcPr>
            <w:tcW w:w="720" w:type="dxa"/>
            <w:tcBorders>
              <w:top w:val="nil"/>
              <w:left w:val="nil"/>
              <w:bottom w:val="single" w:sz="8" w:space="0" w:color="auto"/>
              <w:right w:val="single" w:sz="8" w:space="0" w:color="auto"/>
            </w:tcBorders>
            <w:noWrap/>
            <w:tcMar>
              <w:top w:w="0" w:type="dxa"/>
              <w:left w:w="115" w:type="dxa"/>
              <w:bottom w:w="0" w:type="dxa"/>
              <w:right w:w="115" w:type="dxa"/>
            </w:tcMar>
            <w:vAlign w:val="bottom"/>
            <w:hideMark/>
          </w:tcPr>
          <w:p w14:paraId="18AEC604" w14:textId="77777777" w:rsidR="008E6BFD" w:rsidRPr="00873B6C" w:rsidRDefault="008E6BFD" w:rsidP="00873B6C">
            <w:pPr>
              <w:pStyle w:val="NoSpacing1"/>
              <w:rPr>
                <w:sz w:val="16"/>
                <w:szCs w:val="16"/>
              </w:rPr>
            </w:pPr>
            <w:r w:rsidRPr="00873B6C">
              <w:rPr>
                <w:sz w:val="16"/>
                <w:szCs w:val="16"/>
              </w:rPr>
              <w:t>64</w:t>
            </w:r>
          </w:p>
        </w:tc>
        <w:tc>
          <w:tcPr>
            <w:tcW w:w="900" w:type="dxa"/>
            <w:tcBorders>
              <w:top w:val="nil"/>
              <w:left w:val="nil"/>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03EF40DA" w14:textId="77777777" w:rsidR="008E6BFD" w:rsidRPr="00873B6C" w:rsidRDefault="008E6BFD" w:rsidP="00873B6C">
            <w:pPr>
              <w:pStyle w:val="NoSpacing1"/>
              <w:rPr>
                <w:sz w:val="16"/>
                <w:szCs w:val="16"/>
              </w:rPr>
            </w:pPr>
            <w:r w:rsidRPr="00873B6C">
              <w:rPr>
                <w:sz w:val="16"/>
                <w:szCs w:val="16"/>
              </w:rPr>
              <w:t>76</w:t>
            </w:r>
          </w:p>
        </w:tc>
        <w:tc>
          <w:tcPr>
            <w:tcW w:w="825" w:type="dxa"/>
            <w:tcBorders>
              <w:top w:val="nil"/>
              <w:left w:val="nil"/>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0C97A3EB" w14:textId="77777777" w:rsidR="008E6BFD" w:rsidRPr="00873B6C" w:rsidRDefault="008E6BFD" w:rsidP="00873B6C">
            <w:pPr>
              <w:pStyle w:val="NoSpacing1"/>
              <w:rPr>
                <w:sz w:val="16"/>
                <w:szCs w:val="16"/>
              </w:rPr>
            </w:pPr>
            <w:r w:rsidRPr="00873B6C">
              <w:rPr>
                <w:i/>
                <w:iCs/>
                <w:sz w:val="16"/>
                <w:szCs w:val="16"/>
              </w:rPr>
              <w:t>78</w:t>
            </w:r>
          </w:p>
        </w:tc>
        <w:tc>
          <w:tcPr>
            <w:tcW w:w="1605" w:type="dxa"/>
            <w:noWrap/>
            <w:tcMar>
              <w:top w:w="0" w:type="dxa"/>
              <w:left w:w="115" w:type="dxa"/>
              <w:bottom w:w="0" w:type="dxa"/>
              <w:right w:w="115" w:type="dxa"/>
            </w:tcMar>
            <w:vAlign w:val="bottom"/>
            <w:hideMark/>
          </w:tcPr>
          <w:p w14:paraId="0E9A1245" w14:textId="77777777" w:rsidR="008E6BFD" w:rsidRPr="00873B6C" w:rsidRDefault="008E6BFD" w:rsidP="00873B6C">
            <w:pPr>
              <w:pStyle w:val="NoSpacing1"/>
              <w:rPr>
                <w:rFonts w:ascii="Calibri" w:eastAsiaTheme="minorHAnsi" w:hAnsi="Calibri"/>
                <w:sz w:val="16"/>
                <w:szCs w:val="16"/>
              </w:rPr>
            </w:pPr>
            <w:r w:rsidRPr="00873B6C">
              <w:rPr>
                <w:color w:val="000000"/>
                <w:sz w:val="16"/>
                <w:szCs w:val="16"/>
              </w:rPr>
              <w:t>74</w:t>
            </w:r>
          </w:p>
        </w:tc>
      </w:tr>
      <w:tr w:rsidR="008E6BFD" w14:paraId="4237F50C" w14:textId="77777777" w:rsidTr="001B23C9">
        <w:trPr>
          <w:trHeight w:val="43"/>
        </w:trPr>
        <w:tc>
          <w:tcPr>
            <w:tcW w:w="801" w:type="dxa"/>
            <w:noWrap/>
            <w:tcMar>
              <w:top w:w="0" w:type="dxa"/>
              <w:left w:w="115" w:type="dxa"/>
              <w:bottom w:w="0" w:type="dxa"/>
              <w:right w:w="115" w:type="dxa"/>
            </w:tcMar>
            <w:vAlign w:val="bottom"/>
            <w:hideMark/>
          </w:tcPr>
          <w:p w14:paraId="046EF0F4" w14:textId="77777777" w:rsidR="008E6BFD" w:rsidRPr="00873B6C" w:rsidRDefault="008E6BFD" w:rsidP="00873B6C">
            <w:pPr>
              <w:pStyle w:val="NoSpacing1"/>
              <w:rPr>
                <w:sz w:val="16"/>
                <w:szCs w:val="16"/>
              </w:rPr>
            </w:pPr>
            <w:r w:rsidRPr="00873B6C">
              <w:rPr>
                <w:sz w:val="16"/>
                <w:szCs w:val="16"/>
              </w:rPr>
              <w:t>NJ</w:t>
            </w:r>
          </w:p>
        </w:tc>
        <w:tc>
          <w:tcPr>
            <w:tcW w:w="2612" w:type="dxa"/>
            <w:noWrap/>
            <w:tcMar>
              <w:top w:w="0" w:type="dxa"/>
              <w:left w:w="115" w:type="dxa"/>
              <w:bottom w:w="0" w:type="dxa"/>
              <w:right w:w="115" w:type="dxa"/>
            </w:tcMar>
            <w:vAlign w:val="bottom"/>
            <w:hideMark/>
          </w:tcPr>
          <w:p w14:paraId="2F1E75B1" w14:textId="77777777" w:rsidR="008E6BFD" w:rsidRPr="00873B6C" w:rsidRDefault="008E6BFD" w:rsidP="00873B6C">
            <w:pPr>
              <w:pStyle w:val="NoSpacing1"/>
              <w:rPr>
                <w:sz w:val="16"/>
                <w:szCs w:val="16"/>
              </w:rPr>
            </w:pPr>
            <w:r w:rsidRPr="00873B6C">
              <w:rPr>
                <w:sz w:val="16"/>
                <w:szCs w:val="16"/>
              </w:rPr>
              <w:t>Clarksboro</w:t>
            </w:r>
          </w:p>
        </w:tc>
        <w:tc>
          <w:tcPr>
            <w:tcW w:w="1026" w:type="dxa"/>
            <w:noWrap/>
            <w:tcMar>
              <w:top w:w="0" w:type="dxa"/>
              <w:left w:w="115" w:type="dxa"/>
              <w:bottom w:w="0" w:type="dxa"/>
              <w:right w:w="115" w:type="dxa"/>
            </w:tcMar>
            <w:vAlign w:val="bottom"/>
            <w:hideMark/>
          </w:tcPr>
          <w:p w14:paraId="3E95D1DB" w14:textId="77777777" w:rsidR="008E6BFD" w:rsidRPr="00873B6C" w:rsidRDefault="008E6BFD" w:rsidP="00873B6C">
            <w:pPr>
              <w:pStyle w:val="NoSpacing1"/>
              <w:rPr>
                <w:sz w:val="16"/>
                <w:szCs w:val="16"/>
              </w:rPr>
            </w:pPr>
            <w:r w:rsidRPr="00873B6C">
              <w:rPr>
                <w:sz w:val="16"/>
                <w:szCs w:val="16"/>
              </w:rPr>
              <w:t>340150002</w:t>
            </w:r>
          </w:p>
        </w:tc>
        <w:tc>
          <w:tcPr>
            <w:tcW w:w="886" w:type="dxa"/>
            <w:tcBorders>
              <w:top w:val="nil"/>
              <w:left w:val="single" w:sz="8" w:space="0" w:color="auto"/>
              <w:bottom w:val="single" w:sz="8" w:space="0" w:color="auto"/>
              <w:right w:val="single" w:sz="8" w:space="0" w:color="auto"/>
            </w:tcBorders>
            <w:shd w:val="clear" w:color="auto" w:fill="FFC000"/>
            <w:noWrap/>
            <w:tcMar>
              <w:top w:w="0" w:type="dxa"/>
              <w:left w:w="115" w:type="dxa"/>
              <w:bottom w:w="0" w:type="dxa"/>
              <w:right w:w="115" w:type="dxa"/>
            </w:tcMar>
            <w:vAlign w:val="bottom"/>
            <w:hideMark/>
          </w:tcPr>
          <w:p w14:paraId="14A08E23" w14:textId="77777777" w:rsidR="008E6BFD" w:rsidRPr="00873B6C" w:rsidRDefault="008E6BFD" w:rsidP="00873B6C">
            <w:pPr>
              <w:pStyle w:val="NoSpacing1"/>
              <w:rPr>
                <w:sz w:val="16"/>
                <w:szCs w:val="16"/>
              </w:rPr>
            </w:pPr>
            <w:r w:rsidRPr="00873B6C">
              <w:rPr>
                <w:sz w:val="16"/>
                <w:szCs w:val="16"/>
              </w:rPr>
              <w:t>73</w:t>
            </w:r>
          </w:p>
        </w:tc>
        <w:tc>
          <w:tcPr>
            <w:tcW w:w="720" w:type="dxa"/>
            <w:tcBorders>
              <w:top w:val="nil"/>
              <w:left w:val="nil"/>
              <w:bottom w:val="single" w:sz="8" w:space="0" w:color="auto"/>
              <w:right w:val="single" w:sz="8" w:space="0" w:color="auto"/>
            </w:tcBorders>
            <w:noWrap/>
            <w:tcMar>
              <w:top w:w="0" w:type="dxa"/>
              <w:left w:w="115" w:type="dxa"/>
              <w:bottom w:w="0" w:type="dxa"/>
              <w:right w:w="115" w:type="dxa"/>
            </w:tcMar>
            <w:vAlign w:val="bottom"/>
            <w:hideMark/>
          </w:tcPr>
          <w:p w14:paraId="6E798471" w14:textId="77777777" w:rsidR="008E6BFD" w:rsidRPr="00873B6C" w:rsidRDefault="008E6BFD" w:rsidP="00873B6C">
            <w:pPr>
              <w:pStyle w:val="NoSpacing1"/>
              <w:rPr>
                <w:sz w:val="16"/>
                <w:szCs w:val="16"/>
              </w:rPr>
            </w:pPr>
            <w:r w:rsidRPr="00873B6C">
              <w:rPr>
                <w:sz w:val="16"/>
                <w:szCs w:val="16"/>
              </w:rPr>
              <w:t>70</w:t>
            </w:r>
          </w:p>
        </w:tc>
        <w:tc>
          <w:tcPr>
            <w:tcW w:w="900" w:type="dxa"/>
            <w:tcBorders>
              <w:top w:val="nil"/>
              <w:left w:val="nil"/>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46DAD7F0" w14:textId="77777777" w:rsidR="008E6BFD" w:rsidRPr="00873B6C" w:rsidRDefault="008E6BFD" w:rsidP="00873B6C">
            <w:pPr>
              <w:pStyle w:val="NoSpacing1"/>
              <w:rPr>
                <w:sz w:val="16"/>
                <w:szCs w:val="16"/>
              </w:rPr>
            </w:pPr>
            <w:r w:rsidRPr="00873B6C">
              <w:rPr>
                <w:sz w:val="16"/>
                <w:szCs w:val="16"/>
              </w:rPr>
              <w:t>76</w:t>
            </w:r>
          </w:p>
        </w:tc>
        <w:tc>
          <w:tcPr>
            <w:tcW w:w="825" w:type="dxa"/>
            <w:tcBorders>
              <w:top w:val="nil"/>
              <w:left w:val="nil"/>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549AF9D0" w14:textId="77777777" w:rsidR="008E6BFD" w:rsidRPr="00873B6C" w:rsidRDefault="008E6BFD" w:rsidP="00873B6C">
            <w:pPr>
              <w:pStyle w:val="NoSpacing1"/>
              <w:rPr>
                <w:sz w:val="16"/>
                <w:szCs w:val="16"/>
              </w:rPr>
            </w:pPr>
            <w:r w:rsidRPr="00873B6C">
              <w:rPr>
                <w:i/>
                <w:iCs/>
                <w:sz w:val="16"/>
                <w:szCs w:val="16"/>
              </w:rPr>
              <w:t>76</w:t>
            </w:r>
          </w:p>
        </w:tc>
        <w:tc>
          <w:tcPr>
            <w:tcW w:w="1605" w:type="dxa"/>
            <w:noWrap/>
            <w:tcMar>
              <w:top w:w="0" w:type="dxa"/>
              <w:left w:w="115" w:type="dxa"/>
              <w:bottom w:w="0" w:type="dxa"/>
              <w:right w:w="115" w:type="dxa"/>
            </w:tcMar>
            <w:vAlign w:val="bottom"/>
            <w:hideMark/>
          </w:tcPr>
          <w:p w14:paraId="228E2541" w14:textId="77777777" w:rsidR="008E6BFD" w:rsidRPr="00873B6C" w:rsidRDefault="008E6BFD" w:rsidP="00873B6C">
            <w:pPr>
              <w:pStyle w:val="NoSpacing1"/>
              <w:rPr>
                <w:rFonts w:ascii="Calibri" w:eastAsiaTheme="minorHAnsi" w:hAnsi="Calibri"/>
                <w:sz w:val="16"/>
                <w:szCs w:val="16"/>
              </w:rPr>
            </w:pPr>
            <w:r w:rsidRPr="00873B6C">
              <w:rPr>
                <w:color w:val="000000"/>
                <w:sz w:val="16"/>
                <w:szCs w:val="16"/>
              </w:rPr>
              <w:t>74</w:t>
            </w:r>
          </w:p>
        </w:tc>
      </w:tr>
      <w:tr w:rsidR="008E6BFD" w14:paraId="12C41B60" w14:textId="77777777" w:rsidTr="001B23C9">
        <w:trPr>
          <w:trHeight w:val="43"/>
        </w:trPr>
        <w:tc>
          <w:tcPr>
            <w:tcW w:w="801" w:type="dxa"/>
            <w:noWrap/>
            <w:tcMar>
              <w:top w:w="0" w:type="dxa"/>
              <w:left w:w="115" w:type="dxa"/>
              <w:bottom w:w="0" w:type="dxa"/>
              <w:right w:w="115" w:type="dxa"/>
            </w:tcMar>
            <w:vAlign w:val="bottom"/>
            <w:hideMark/>
          </w:tcPr>
          <w:p w14:paraId="77C09D4E" w14:textId="77777777" w:rsidR="008E6BFD" w:rsidRPr="00873B6C" w:rsidRDefault="008E6BFD" w:rsidP="00873B6C">
            <w:pPr>
              <w:pStyle w:val="NoSpacing1"/>
              <w:rPr>
                <w:sz w:val="16"/>
                <w:szCs w:val="16"/>
              </w:rPr>
            </w:pPr>
            <w:r w:rsidRPr="00873B6C">
              <w:rPr>
                <w:sz w:val="16"/>
                <w:szCs w:val="16"/>
              </w:rPr>
              <w:t>NJ</w:t>
            </w:r>
          </w:p>
        </w:tc>
        <w:tc>
          <w:tcPr>
            <w:tcW w:w="2612" w:type="dxa"/>
            <w:noWrap/>
            <w:tcMar>
              <w:top w:w="0" w:type="dxa"/>
              <w:left w:w="115" w:type="dxa"/>
              <w:bottom w:w="0" w:type="dxa"/>
              <w:right w:w="115" w:type="dxa"/>
            </w:tcMar>
            <w:vAlign w:val="bottom"/>
            <w:hideMark/>
          </w:tcPr>
          <w:p w14:paraId="335FB245" w14:textId="77777777" w:rsidR="008E6BFD" w:rsidRPr="00873B6C" w:rsidRDefault="008E6BFD" w:rsidP="00873B6C">
            <w:pPr>
              <w:pStyle w:val="NoSpacing1"/>
              <w:rPr>
                <w:sz w:val="16"/>
                <w:szCs w:val="16"/>
              </w:rPr>
            </w:pPr>
            <w:r w:rsidRPr="00873B6C">
              <w:rPr>
                <w:sz w:val="16"/>
                <w:szCs w:val="16"/>
              </w:rPr>
              <w:t>Rutgers U</w:t>
            </w:r>
          </w:p>
        </w:tc>
        <w:tc>
          <w:tcPr>
            <w:tcW w:w="1026" w:type="dxa"/>
            <w:noWrap/>
            <w:tcMar>
              <w:top w:w="0" w:type="dxa"/>
              <w:left w:w="115" w:type="dxa"/>
              <w:bottom w:w="0" w:type="dxa"/>
              <w:right w:w="115" w:type="dxa"/>
            </w:tcMar>
            <w:vAlign w:val="bottom"/>
            <w:hideMark/>
          </w:tcPr>
          <w:p w14:paraId="7946E17F" w14:textId="77777777" w:rsidR="008E6BFD" w:rsidRPr="00873B6C" w:rsidRDefault="008E6BFD" w:rsidP="00873B6C">
            <w:pPr>
              <w:pStyle w:val="NoSpacing1"/>
              <w:rPr>
                <w:sz w:val="16"/>
                <w:szCs w:val="16"/>
              </w:rPr>
            </w:pPr>
            <w:r w:rsidRPr="00873B6C">
              <w:rPr>
                <w:sz w:val="16"/>
                <w:szCs w:val="16"/>
              </w:rPr>
              <w:t>340230011</w:t>
            </w:r>
          </w:p>
        </w:tc>
        <w:tc>
          <w:tcPr>
            <w:tcW w:w="886" w:type="dxa"/>
            <w:tcBorders>
              <w:top w:val="nil"/>
              <w:left w:val="single" w:sz="8" w:space="0" w:color="auto"/>
              <w:bottom w:val="single" w:sz="8" w:space="0" w:color="auto"/>
              <w:right w:val="single" w:sz="8" w:space="0" w:color="auto"/>
            </w:tcBorders>
            <w:noWrap/>
            <w:tcMar>
              <w:top w:w="0" w:type="dxa"/>
              <w:left w:w="115" w:type="dxa"/>
              <w:bottom w:w="0" w:type="dxa"/>
              <w:right w:w="115" w:type="dxa"/>
            </w:tcMar>
            <w:vAlign w:val="bottom"/>
            <w:hideMark/>
          </w:tcPr>
          <w:p w14:paraId="2F45BC93" w14:textId="77777777" w:rsidR="008E6BFD" w:rsidRPr="00873B6C" w:rsidRDefault="008E6BFD" w:rsidP="00873B6C">
            <w:pPr>
              <w:pStyle w:val="NoSpacing1"/>
              <w:rPr>
                <w:sz w:val="16"/>
                <w:szCs w:val="16"/>
              </w:rPr>
            </w:pPr>
            <w:r w:rsidRPr="00873B6C">
              <w:rPr>
                <w:sz w:val="16"/>
                <w:szCs w:val="16"/>
              </w:rPr>
              <w:t>70</w:t>
            </w:r>
          </w:p>
        </w:tc>
        <w:tc>
          <w:tcPr>
            <w:tcW w:w="720" w:type="dxa"/>
            <w:tcBorders>
              <w:top w:val="nil"/>
              <w:left w:val="nil"/>
              <w:bottom w:val="single" w:sz="8" w:space="0" w:color="auto"/>
              <w:right w:val="single" w:sz="8" w:space="0" w:color="auto"/>
            </w:tcBorders>
            <w:shd w:val="clear" w:color="auto" w:fill="FFC000"/>
            <w:noWrap/>
            <w:tcMar>
              <w:top w:w="0" w:type="dxa"/>
              <w:left w:w="115" w:type="dxa"/>
              <w:bottom w:w="0" w:type="dxa"/>
              <w:right w:w="115" w:type="dxa"/>
            </w:tcMar>
            <w:vAlign w:val="bottom"/>
            <w:hideMark/>
          </w:tcPr>
          <w:p w14:paraId="21601B8F" w14:textId="77777777" w:rsidR="008E6BFD" w:rsidRPr="00873B6C" w:rsidRDefault="008E6BFD" w:rsidP="00873B6C">
            <w:pPr>
              <w:pStyle w:val="NoSpacing1"/>
              <w:rPr>
                <w:sz w:val="16"/>
                <w:szCs w:val="16"/>
              </w:rPr>
            </w:pPr>
            <w:r w:rsidRPr="00873B6C">
              <w:rPr>
                <w:sz w:val="16"/>
                <w:szCs w:val="16"/>
              </w:rPr>
              <w:t>71</w:t>
            </w:r>
          </w:p>
        </w:tc>
        <w:tc>
          <w:tcPr>
            <w:tcW w:w="900" w:type="dxa"/>
            <w:tcBorders>
              <w:top w:val="nil"/>
              <w:left w:val="nil"/>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7F0E13B6" w14:textId="77777777" w:rsidR="008E6BFD" w:rsidRPr="00873B6C" w:rsidRDefault="008E6BFD" w:rsidP="00873B6C">
            <w:pPr>
              <w:pStyle w:val="NoSpacing1"/>
              <w:rPr>
                <w:sz w:val="16"/>
                <w:szCs w:val="16"/>
              </w:rPr>
            </w:pPr>
            <w:r w:rsidRPr="00873B6C">
              <w:rPr>
                <w:sz w:val="16"/>
                <w:szCs w:val="16"/>
              </w:rPr>
              <w:t>77</w:t>
            </w:r>
          </w:p>
        </w:tc>
        <w:tc>
          <w:tcPr>
            <w:tcW w:w="825" w:type="dxa"/>
            <w:tcBorders>
              <w:top w:val="nil"/>
              <w:left w:val="nil"/>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5A173A5B" w14:textId="77777777" w:rsidR="008E6BFD" w:rsidRPr="00873B6C" w:rsidRDefault="008E6BFD" w:rsidP="00873B6C">
            <w:pPr>
              <w:pStyle w:val="NoSpacing1"/>
              <w:rPr>
                <w:sz w:val="16"/>
                <w:szCs w:val="16"/>
              </w:rPr>
            </w:pPr>
            <w:r w:rsidRPr="00873B6C">
              <w:rPr>
                <w:i/>
                <w:iCs/>
                <w:sz w:val="16"/>
                <w:szCs w:val="16"/>
              </w:rPr>
              <w:t>76</w:t>
            </w:r>
          </w:p>
        </w:tc>
        <w:tc>
          <w:tcPr>
            <w:tcW w:w="1605" w:type="dxa"/>
            <w:noWrap/>
            <w:tcMar>
              <w:top w:w="0" w:type="dxa"/>
              <w:left w:w="115" w:type="dxa"/>
              <w:bottom w:w="0" w:type="dxa"/>
              <w:right w:w="115" w:type="dxa"/>
            </w:tcMar>
            <w:vAlign w:val="bottom"/>
            <w:hideMark/>
          </w:tcPr>
          <w:p w14:paraId="0C89851B" w14:textId="77777777" w:rsidR="008E6BFD" w:rsidRPr="00873B6C" w:rsidRDefault="008E6BFD" w:rsidP="00873B6C">
            <w:pPr>
              <w:pStyle w:val="NoSpacing1"/>
              <w:rPr>
                <w:rFonts w:ascii="Calibri" w:eastAsiaTheme="minorHAnsi" w:hAnsi="Calibri"/>
                <w:sz w:val="16"/>
                <w:szCs w:val="16"/>
              </w:rPr>
            </w:pPr>
            <w:r w:rsidRPr="00873B6C">
              <w:rPr>
                <w:color w:val="000000"/>
                <w:sz w:val="16"/>
                <w:szCs w:val="16"/>
              </w:rPr>
              <w:t>74</w:t>
            </w:r>
          </w:p>
        </w:tc>
      </w:tr>
      <w:tr w:rsidR="008E6BFD" w14:paraId="2E8AB8B0" w14:textId="77777777" w:rsidTr="001B23C9">
        <w:trPr>
          <w:trHeight w:val="43"/>
        </w:trPr>
        <w:tc>
          <w:tcPr>
            <w:tcW w:w="801" w:type="dxa"/>
            <w:noWrap/>
            <w:tcMar>
              <w:top w:w="0" w:type="dxa"/>
              <w:left w:w="115" w:type="dxa"/>
              <w:bottom w:w="0" w:type="dxa"/>
              <w:right w:w="115" w:type="dxa"/>
            </w:tcMar>
            <w:vAlign w:val="bottom"/>
            <w:hideMark/>
          </w:tcPr>
          <w:p w14:paraId="085AFF0E" w14:textId="77777777" w:rsidR="008E6BFD" w:rsidRPr="00873B6C" w:rsidRDefault="008E6BFD" w:rsidP="00873B6C">
            <w:pPr>
              <w:pStyle w:val="NoSpacing1"/>
              <w:rPr>
                <w:sz w:val="16"/>
                <w:szCs w:val="16"/>
              </w:rPr>
            </w:pPr>
            <w:r w:rsidRPr="00873B6C">
              <w:rPr>
                <w:sz w:val="16"/>
                <w:szCs w:val="16"/>
              </w:rPr>
              <w:t>NY</w:t>
            </w:r>
          </w:p>
        </w:tc>
        <w:tc>
          <w:tcPr>
            <w:tcW w:w="2612" w:type="dxa"/>
            <w:noWrap/>
            <w:tcMar>
              <w:top w:w="0" w:type="dxa"/>
              <w:left w:w="115" w:type="dxa"/>
              <w:bottom w:w="0" w:type="dxa"/>
              <w:right w:w="115" w:type="dxa"/>
            </w:tcMar>
            <w:vAlign w:val="bottom"/>
            <w:hideMark/>
          </w:tcPr>
          <w:p w14:paraId="25F77303" w14:textId="77777777" w:rsidR="008E6BFD" w:rsidRPr="00873B6C" w:rsidRDefault="008E6BFD" w:rsidP="00873B6C">
            <w:pPr>
              <w:pStyle w:val="NoSpacing1"/>
              <w:rPr>
                <w:sz w:val="16"/>
                <w:szCs w:val="16"/>
              </w:rPr>
            </w:pPr>
            <w:r w:rsidRPr="00873B6C">
              <w:rPr>
                <w:sz w:val="16"/>
                <w:szCs w:val="16"/>
              </w:rPr>
              <w:t>White Plains</w:t>
            </w:r>
          </w:p>
        </w:tc>
        <w:tc>
          <w:tcPr>
            <w:tcW w:w="1026" w:type="dxa"/>
            <w:noWrap/>
            <w:tcMar>
              <w:top w:w="0" w:type="dxa"/>
              <w:left w:w="115" w:type="dxa"/>
              <w:bottom w:w="0" w:type="dxa"/>
              <w:right w:w="115" w:type="dxa"/>
            </w:tcMar>
            <w:vAlign w:val="bottom"/>
            <w:hideMark/>
          </w:tcPr>
          <w:p w14:paraId="2103F30A" w14:textId="77777777" w:rsidR="008E6BFD" w:rsidRPr="00873B6C" w:rsidRDefault="008E6BFD" w:rsidP="00873B6C">
            <w:pPr>
              <w:pStyle w:val="NoSpacing1"/>
              <w:rPr>
                <w:sz w:val="16"/>
                <w:szCs w:val="16"/>
              </w:rPr>
            </w:pPr>
            <w:r w:rsidRPr="00873B6C">
              <w:rPr>
                <w:sz w:val="16"/>
                <w:szCs w:val="16"/>
              </w:rPr>
              <w:t>361192004</w:t>
            </w:r>
          </w:p>
        </w:tc>
        <w:tc>
          <w:tcPr>
            <w:tcW w:w="886" w:type="dxa"/>
            <w:tcBorders>
              <w:top w:val="nil"/>
              <w:left w:val="single" w:sz="8" w:space="0" w:color="auto"/>
              <w:bottom w:val="single" w:sz="8" w:space="0" w:color="auto"/>
              <w:right w:val="single" w:sz="8" w:space="0" w:color="auto"/>
            </w:tcBorders>
            <w:shd w:val="clear" w:color="auto" w:fill="FFC000"/>
            <w:noWrap/>
            <w:tcMar>
              <w:top w:w="0" w:type="dxa"/>
              <w:left w:w="115" w:type="dxa"/>
              <w:bottom w:w="0" w:type="dxa"/>
              <w:right w:w="115" w:type="dxa"/>
            </w:tcMar>
            <w:vAlign w:val="bottom"/>
            <w:hideMark/>
          </w:tcPr>
          <w:p w14:paraId="2F8F7BE8" w14:textId="77777777" w:rsidR="008E6BFD" w:rsidRPr="00873B6C" w:rsidRDefault="008E6BFD" w:rsidP="00873B6C">
            <w:pPr>
              <w:pStyle w:val="NoSpacing1"/>
              <w:rPr>
                <w:sz w:val="16"/>
                <w:szCs w:val="16"/>
              </w:rPr>
            </w:pPr>
            <w:r w:rsidRPr="00873B6C">
              <w:rPr>
                <w:sz w:val="16"/>
                <w:szCs w:val="16"/>
              </w:rPr>
              <w:t>72</w:t>
            </w:r>
          </w:p>
        </w:tc>
        <w:tc>
          <w:tcPr>
            <w:tcW w:w="720" w:type="dxa"/>
            <w:tcBorders>
              <w:top w:val="nil"/>
              <w:left w:val="nil"/>
              <w:bottom w:val="single" w:sz="8" w:space="0" w:color="auto"/>
              <w:right w:val="single" w:sz="8" w:space="0" w:color="auto"/>
            </w:tcBorders>
            <w:shd w:val="clear" w:color="auto" w:fill="FFC000"/>
            <w:noWrap/>
            <w:tcMar>
              <w:top w:w="0" w:type="dxa"/>
              <w:left w:w="115" w:type="dxa"/>
              <w:bottom w:w="0" w:type="dxa"/>
              <w:right w:w="115" w:type="dxa"/>
            </w:tcMar>
            <w:vAlign w:val="bottom"/>
            <w:hideMark/>
          </w:tcPr>
          <w:p w14:paraId="2E9152BE" w14:textId="77777777" w:rsidR="008E6BFD" w:rsidRPr="00873B6C" w:rsidRDefault="008E6BFD" w:rsidP="00873B6C">
            <w:pPr>
              <w:pStyle w:val="NoSpacing1"/>
              <w:rPr>
                <w:sz w:val="16"/>
                <w:szCs w:val="16"/>
              </w:rPr>
            </w:pPr>
            <w:r w:rsidRPr="00873B6C">
              <w:rPr>
                <w:sz w:val="16"/>
                <w:szCs w:val="16"/>
              </w:rPr>
              <w:t>74</w:t>
            </w:r>
          </w:p>
        </w:tc>
        <w:tc>
          <w:tcPr>
            <w:tcW w:w="900" w:type="dxa"/>
            <w:tcBorders>
              <w:top w:val="nil"/>
              <w:left w:val="nil"/>
              <w:bottom w:val="single" w:sz="8" w:space="0" w:color="auto"/>
              <w:right w:val="single" w:sz="8" w:space="0" w:color="auto"/>
            </w:tcBorders>
            <w:shd w:val="clear" w:color="auto" w:fill="FFC000"/>
            <w:noWrap/>
            <w:tcMar>
              <w:top w:w="0" w:type="dxa"/>
              <w:left w:w="115" w:type="dxa"/>
              <w:bottom w:w="0" w:type="dxa"/>
              <w:right w:w="115" w:type="dxa"/>
            </w:tcMar>
            <w:vAlign w:val="bottom"/>
            <w:hideMark/>
          </w:tcPr>
          <w:p w14:paraId="1820063D" w14:textId="77777777" w:rsidR="008E6BFD" w:rsidRPr="00873B6C" w:rsidRDefault="008E6BFD" w:rsidP="00873B6C">
            <w:pPr>
              <w:pStyle w:val="NoSpacing1"/>
              <w:rPr>
                <w:sz w:val="16"/>
                <w:szCs w:val="16"/>
              </w:rPr>
            </w:pPr>
            <w:r w:rsidRPr="00873B6C">
              <w:rPr>
                <w:sz w:val="16"/>
                <w:szCs w:val="16"/>
              </w:rPr>
              <w:t>73</w:t>
            </w:r>
          </w:p>
        </w:tc>
        <w:tc>
          <w:tcPr>
            <w:tcW w:w="825" w:type="dxa"/>
            <w:tcBorders>
              <w:top w:val="nil"/>
              <w:left w:val="nil"/>
              <w:bottom w:val="single" w:sz="8" w:space="0" w:color="auto"/>
              <w:right w:val="single" w:sz="8" w:space="0" w:color="auto"/>
            </w:tcBorders>
            <w:shd w:val="clear" w:color="auto" w:fill="FFC000"/>
            <w:noWrap/>
            <w:tcMar>
              <w:top w:w="0" w:type="dxa"/>
              <w:left w:w="115" w:type="dxa"/>
              <w:bottom w:w="0" w:type="dxa"/>
              <w:right w:w="115" w:type="dxa"/>
            </w:tcMar>
            <w:vAlign w:val="bottom"/>
            <w:hideMark/>
          </w:tcPr>
          <w:p w14:paraId="1F9C0304" w14:textId="77777777" w:rsidR="008E6BFD" w:rsidRPr="00873B6C" w:rsidRDefault="008E6BFD" w:rsidP="00873B6C">
            <w:pPr>
              <w:pStyle w:val="NoSpacing1"/>
              <w:rPr>
                <w:sz w:val="16"/>
                <w:szCs w:val="16"/>
              </w:rPr>
            </w:pPr>
            <w:r w:rsidRPr="00873B6C">
              <w:rPr>
                <w:i/>
                <w:iCs/>
                <w:sz w:val="16"/>
                <w:szCs w:val="16"/>
              </w:rPr>
              <w:t>75</w:t>
            </w:r>
          </w:p>
        </w:tc>
        <w:tc>
          <w:tcPr>
            <w:tcW w:w="1605" w:type="dxa"/>
            <w:noWrap/>
            <w:tcMar>
              <w:top w:w="0" w:type="dxa"/>
              <w:left w:w="115" w:type="dxa"/>
              <w:bottom w:w="0" w:type="dxa"/>
              <w:right w:w="115" w:type="dxa"/>
            </w:tcMar>
            <w:vAlign w:val="bottom"/>
            <w:hideMark/>
          </w:tcPr>
          <w:p w14:paraId="277AD6AF" w14:textId="77777777" w:rsidR="008E6BFD" w:rsidRPr="00873B6C" w:rsidRDefault="008E6BFD" w:rsidP="00873B6C">
            <w:pPr>
              <w:pStyle w:val="NoSpacing1"/>
              <w:rPr>
                <w:rFonts w:ascii="Calibri" w:eastAsiaTheme="minorHAnsi" w:hAnsi="Calibri"/>
                <w:sz w:val="16"/>
                <w:szCs w:val="16"/>
              </w:rPr>
            </w:pPr>
            <w:r w:rsidRPr="00873B6C">
              <w:rPr>
                <w:color w:val="000000"/>
                <w:sz w:val="16"/>
                <w:szCs w:val="16"/>
              </w:rPr>
              <w:t>74</w:t>
            </w:r>
          </w:p>
        </w:tc>
      </w:tr>
      <w:tr w:rsidR="008E6BFD" w14:paraId="4D1CF128" w14:textId="77777777" w:rsidTr="001B23C9">
        <w:trPr>
          <w:trHeight w:val="43"/>
        </w:trPr>
        <w:tc>
          <w:tcPr>
            <w:tcW w:w="801" w:type="dxa"/>
            <w:noWrap/>
            <w:tcMar>
              <w:top w:w="0" w:type="dxa"/>
              <w:left w:w="115" w:type="dxa"/>
              <w:bottom w:w="0" w:type="dxa"/>
              <w:right w:w="115" w:type="dxa"/>
            </w:tcMar>
            <w:vAlign w:val="bottom"/>
            <w:hideMark/>
          </w:tcPr>
          <w:p w14:paraId="1ADC0BDC" w14:textId="77777777" w:rsidR="008E6BFD" w:rsidRPr="00873B6C" w:rsidRDefault="008E6BFD" w:rsidP="00873B6C">
            <w:pPr>
              <w:pStyle w:val="NoSpacing1"/>
              <w:rPr>
                <w:sz w:val="16"/>
                <w:szCs w:val="16"/>
              </w:rPr>
            </w:pPr>
            <w:r w:rsidRPr="00873B6C">
              <w:rPr>
                <w:sz w:val="16"/>
                <w:szCs w:val="16"/>
              </w:rPr>
              <w:t>MD</w:t>
            </w:r>
          </w:p>
        </w:tc>
        <w:tc>
          <w:tcPr>
            <w:tcW w:w="2612" w:type="dxa"/>
            <w:noWrap/>
            <w:tcMar>
              <w:top w:w="0" w:type="dxa"/>
              <w:left w:w="115" w:type="dxa"/>
              <w:bottom w:w="0" w:type="dxa"/>
              <w:right w:w="115" w:type="dxa"/>
            </w:tcMar>
            <w:vAlign w:val="bottom"/>
            <w:hideMark/>
          </w:tcPr>
          <w:p w14:paraId="06BFBB2F" w14:textId="77777777" w:rsidR="008E6BFD" w:rsidRPr="00873B6C" w:rsidRDefault="008E6BFD" w:rsidP="00873B6C">
            <w:pPr>
              <w:pStyle w:val="NoSpacing1"/>
              <w:rPr>
                <w:sz w:val="16"/>
                <w:szCs w:val="16"/>
              </w:rPr>
            </w:pPr>
            <w:r w:rsidRPr="00873B6C">
              <w:rPr>
                <w:sz w:val="16"/>
                <w:szCs w:val="16"/>
              </w:rPr>
              <w:t>Edgewood</w:t>
            </w:r>
          </w:p>
        </w:tc>
        <w:tc>
          <w:tcPr>
            <w:tcW w:w="1026" w:type="dxa"/>
            <w:noWrap/>
            <w:tcMar>
              <w:top w:w="0" w:type="dxa"/>
              <w:left w:w="115" w:type="dxa"/>
              <w:bottom w:w="0" w:type="dxa"/>
              <w:right w:w="115" w:type="dxa"/>
            </w:tcMar>
            <w:vAlign w:val="bottom"/>
            <w:hideMark/>
          </w:tcPr>
          <w:p w14:paraId="047CBFC3" w14:textId="77777777" w:rsidR="008E6BFD" w:rsidRPr="00873B6C" w:rsidRDefault="008E6BFD" w:rsidP="00873B6C">
            <w:pPr>
              <w:pStyle w:val="NoSpacing1"/>
              <w:rPr>
                <w:sz w:val="16"/>
                <w:szCs w:val="16"/>
              </w:rPr>
            </w:pPr>
            <w:r w:rsidRPr="00873B6C">
              <w:rPr>
                <w:sz w:val="16"/>
                <w:szCs w:val="16"/>
              </w:rPr>
              <w:t>240251001</w:t>
            </w:r>
          </w:p>
        </w:tc>
        <w:tc>
          <w:tcPr>
            <w:tcW w:w="886" w:type="dxa"/>
            <w:tcBorders>
              <w:top w:val="nil"/>
              <w:left w:val="single" w:sz="8" w:space="0" w:color="auto"/>
              <w:bottom w:val="single" w:sz="8" w:space="0" w:color="auto"/>
              <w:right w:val="single" w:sz="8" w:space="0" w:color="auto"/>
            </w:tcBorders>
            <w:shd w:val="clear" w:color="auto" w:fill="FFC000"/>
            <w:noWrap/>
            <w:tcMar>
              <w:top w:w="0" w:type="dxa"/>
              <w:left w:w="115" w:type="dxa"/>
              <w:bottom w:w="0" w:type="dxa"/>
              <w:right w:w="115" w:type="dxa"/>
            </w:tcMar>
            <w:vAlign w:val="bottom"/>
            <w:hideMark/>
          </w:tcPr>
          <w:p w14:paraId="40D54C78" w14:textId="77777777" w:rsidR="008E6BFD" w:rsidRPr="00873B6C" w:rsidRDefault="008E6BFD" w:rsidP="00873B6C">
            <w:pPr>
              <w:pStyle w:val="NoSpacing1"/>
              <w:rPr>
                <w:sz w:val="16"/>
                <w:szCs w:val="16"/>
              </w:rPr>
            </w:pPr>
            <w:r w:rsidRPr="00873B6C">
              <w:rPr>
                <w:sz w:val="16"/>
                <w:szCs w:val="16"/>
              </w:rPr>
              <w:t>72</w:t>
            </w:r>
          </w:p>
        </w:tc>
        <w:tc>
          <w:tcPr>
            <w:tcW w:w="720" w:type="dxa"/>
            <w:tcBorders>
              <w:top w:val="nil"/>
              <w:left w:val="nil"/>
              <w:bottom w:val="single" w:sz="8" w:space="0" w:color="auto"/>
              <w:right w:val="single" w:sz="8" w:space="0" w:color="auto"/>
            </w:tcBorders>
            <w:noWrap/>
            <w:tcMar>
              <w:top w:w="0" w:type="dxa"/>
              <w:left w:w="115" w:type="dxa"/>
              <w:bottom w:w="0" w:type="dxa"/>
              <w:right w:w="115" w:type="dxa"/>
            </w:tcMar>
            <w:vAlign w:val="bottom"/>
            <w:hideMark/>
          </w:tcPr>
          <w:p w14:paraId="51E36D03" w14:textId="77777777" w:rsidR="008E6BFD" w:rsidRPr="00873B6C" w:rsidRDefault="008E6BFD" w:rsidP="00873B6C">
            <w:pPr>
              <w:pStyle w:val="NoSpacing1"/>
              <w:rPr>
                <w:sz w:val="16"/>
                <w:szCs w:val="16"/>
              </w:rPr>
            </w:pPr>
            <w:r w:rsidRPr="00873B6C">
              <w:rPr>
                <w:sz w:val="16"/>
                <w:szCs w:val="16"/>
              </w:rPr>
              <w:t>67</w:t>
            </w:r>
          </w:p>
        </w:tc>
        <w:tc>
          <w:tcPr>
            <w:tcW w:w="900" w:type="dxa"/>
            <w:tcBorders>
              <w:top w:val="nil"/>
              <w:left w:val="nil"/>
              <w:bottom w:val="single" w:sz="8" w:space="0" w:color="auto"/>
              <w:right w:val="single" w:sz="8" w:space="0" w:color="auto"/>
            </w:tcBorders>
            <w:shd w:val="clear" w:color="auto" w:fill="FFC000"/>
            <w:noWrap/>
            <w:tcMar>
              <w:top w:w="0" w:type="dxa"/>
              <w:left w:w="115" w:type="dxa"/>
              <w:bottom w:w="0" w:type="dxa"/>
              <w:right w:w="115" w:type="dxa"/>
            </w:tcMar>
            <w:vAlign w:val="bottom"/>
            <w:hideMark/>
          </w:tcPr>
          <w:p w14:paraId="1CD9E8A1" w14:textId="77777777" w:rsidR="008E6BFD" w:rsidRPr="00873B6C" w:rsidRDefault="008E6BFD" w:rsidP="00873B6C">
            <w:pPr>
              <w:pStyle w:val="NoSpacing1"/>
              <w:rPr>
                <w:sz w:val="16"/>
                <w:szCs w:val="16"/>
              </w:rPr>
            </w:pPr>
            <w:r w:rsidRPr="00873B6C">
              <w:rPr>
                <w:sz w:val="16"/>
                <w:szCs w:val="16"/>
              </w:rPr>
              <w:t>74</w:t>
            </w:r>
          </w:p>
        </w:tc>
        <w:tc>
          <w:tcPr>
            <w:tcW w:w="825" w:type="dxa"/>
            <w:tcBorders>
              <w:top w:val="nil"/>
              <w:left w:val="nil"/>
              <w:bottom w:val="single" w:sz="8" w:space="0" w:color="auto"/>
              <w:right w:val="single" w:sz="8" w:space="0" w:color="auto"/>
            </w:tcBorders>
            <w:shd w:val="clear" w:color="auto" w:fill="E26B0A"/>
            <w:noWrap/>
            <w:tcMar>
              <w:top w:w="0" w:type="dxa"/>
              <w:left w:w="115" w:type="dxa"/>
              <w:bottom w:w="0" w:type="dxa"/>
              <w:right w:w="115" w:type="dxa"/>
            </w:tcMar>
            <w:vAlign w:val="bottom"/>
            <w:hideMark/>
          </w:tcPr>
          <w:p w14:paraId="6EBE2879" w14:textId="77777777" w:rsidR="008E6BFD" w:rsidRPr="00873B6C" w:rsidRDefault="008E6BFD" w:rsidP="00873B6C">
            <w:pPr>
              <w:pStyle w:val="NoSpacing1"/>
              <w:rPr>
                <w:sz w:val="16"/>
                <w:szCs w:val="16"/>
              </w:rPr>
            </w:pPr>
            <w:r w:rsidRPr="00873B6C">
              <w:rPr>
                <w:i/>
                <w:iCs/>
                <w:sz w:val="16"/>
                <w:szCs w:val="16"/>
              </w:rPr>
              <w:t>79</w:t>
            </w:r>
          </w:p>
        </w:tc>
        <w:tc>
          <w:tcPr>
            <w:tcW w:w="1605" w:type="dxa"/>
            <w:noWrap/>
            <w:tcMar>
              <w:top w:w="0" w:type="dxa"/>
              <w:left w:w="115" w:type="dxa"/>
              <w:bottom w:w="0" w:type="dxa"/>
              <w:right w:w="115" w:type="dxa"/>
            </w:tcMar>
            <w:vAlign w:val="bottom"/>
            <w:hideMark/>
          </w:tcPr>
          <w:p w14:paraId="43F5F0A0" w14:textId="77777777" w:rsidR="008E6BFD" w:rsidRPr="00873B6C" w:rsidRDefault="008E6BFD" w:rsidP="00873B6C">
            <w:pPr>
              <w:pStyle w:val="NoSpacing1"/>
              <w:rPr>
                <w:rFonts w:ascii="Calibri" w:eastAsiaTheme="minorHAnsi" w:hAnsi="Calibri"/>
                <w:sz w:val="16"/>
                <w:szCs w:val="16"/>
              </w:rPr>
            </w:pPr>
            <w:r w:rsidRPr="00873B6C">
              <w:rPr>
                <w:color w:val="000000"/>
                <w:sz w:val="16"/>
                <w:szCs w:val="16"/>
              </w:rPr>
              <w:t>73</w:t>
            </w:r>
          </w:p>
        </w:tc>
      </w:tr>
    </w:tbl>
    <w:p w14:paraId="12CDD0F9" w14:textId="77777777" w:rsidR="008E6BFD" w:rsidRDefault="008E6BFD" w:rsidP="001C2012"/>
    <w:p w14:paraId="46111996" w14:textId="374897F2" w:rsidR="00907499" w:rsidRPr="000479C4" w:rsidRDefault="00E445FF" w:rsidP="001C2012">
      <w:r>
        <w:t>After</w:t>
      </w:r>
      <w:r w:rsidRPr="000479C4">
        <w:t xml:space="preserve"> import</w:t>
      </w:r>
      <w:r>
        <w:t>ing</w:t>
      </w:r>
      <w:r w:rsidRPr="000479C4">
        <w:t xml:space="preserve"> </w:t>
      </w:r>
      <w:r w:rsidR="00A34DA9">
        <w:t>each year’s</w:t>
      </w:r>
      <w:r w:rsidR="00907499" w:rsidRPr="000479C4">
        <w:t xml:space="preserve"> monitored ozone data</w:t>
      </w:r>
      <w:r w:rsidR="00907499">
        <w:t>,</w:t>
      </w:r>
      <w:r w:rsidR="00907499" w:rsidRPr="000479C4">
        <w:t xml:space="preserve"> BenMAP </w:t>
      </w:r>
      <w:r w:rsidR="0000785A">
        <w:t xml:space="preserve">CE </w:t>
      </w:r>
      <w:r w:rsidR="00907499" w:rsidRPr="000479C4">
        <w:t xml:space="preserve">was employed to conduct an analysis termed “roll back.”  In this approach a mathematical technique is used to </w:t>
      </w:r>
      <w:r w:rsidR="005D21A8">
        <w:t>reduce the ozone values at</w:t>
      </w:r>
      <w:r w:rsidR="005D21A8" w:rsidRPr="000479C4">
        <w:t xml:space="preserve"> </w:t>
      </w:r>
      <w:r w:rsidRPr="000479C4">
        <w:t xml:space="preserve">the monitors </w:t>
      </w:r>
      <w:r w:rsidR="00907499" w:rsidRPr="000479C4">
        <w:t xml:space="preserve">so that each meets </w:t>
      </w:r>
      <w:r w:rsidR="0000785A">
        <w:t>a threshold</w:t>
      </w:r>
      <w:r w:rsidR="00907499" w:rsidRPr="000479C4">
        <w:t>, in th</w:t>
      </w:r>
      <w:r w:rsidR="00905D12">
        <w:t>ese</w:t>
      </w:r>
      <w:r w:rsidR="00907499" w:rsidRPr="000479C4">
        <w:t xml:space="preserve"> case</w:t>
      </w:r>
      <w:r w:rsidR="00905D12">
        <w:t>s</w:t>
      </w:r>
      <w:r w:rsidR="00907499" w:rsidRPr="000479C4">
        <w:t xml:space="preserve"> a 4</w:t>
      </w:r>
      <w:r w:rsidR="00907499" w:rsidRPr="000479C4">
        <w:rPr>
          <w:vertAlign w:val="superscript"/>
        </w:rPr>
        <w:t>th</w:t>
      </w:r>
      <w:r w:rsidR="00907499" w:rsidRPr="000479C4">
        <w:t xml:space="preserve"> highest daily maximum 8-hour ozone average concentration</w:t>
      </w:r>
      <w:r w:rsidR="00907499">
        <w:t xml:space="preserve"> of </w:t>
      </w:r>
      <w:r w:rsidR="001A4C39">
        <w:t>70 ppb</w:t>
      </w:r>
      <w:r w:rsidR="00905D12">
        <w:t>, 65 ppb, or 40 ppb</w:t>
      </w:r>
      <w:r w:rsidR="00907499" w:rsidRPr="000479C4">
        <w:t xml:space="preserve">. </w:t>
      </w:r>
      <w:r w:rsidRPr="000479C4">
        <w:t xml:space="preserve">Technically </w:t>
      </w:r>
      <w:r>
        <w:t>to demonstrate compliance with the 8-hour ozone</w:t>
      </w:r>
      <w:r w:rsidRPr="000479C4">
        <w:t xml:space="preserve"> NAAQS</w:t>
      </w:r>
      <w:r>
        <w:t xml:space="preserve">, </w:t>
      </w:r>
      <w:r w:rsidRPr="000479C4">
        <w:t xml:space="preserve">  the average of 3 years of the 4</w:t>
      </w:r>
      <w:r w:rsidRPr="000479C4">
        <w:rPr>
          <w:vertAlign w:val="superscript"/>
        </w:rPr>
        <w:t>th</w:t>
      </w:r>
      <w:r w:rsidRPr="000479C4">
        <w:t xml:space="preserve"> highest daily maximum 8-hour ozone averages</w:t>
      </w:r>
      <w:r>
        <w:t xml:space="preserve"> is calculated and referred to as a design value (DV)  This is necessary since BenMAP CE only accepts one year worth of air quality data in an analysis.</w:t>
      </w:r>
      <w:r w:rsidRPr="000479C4">
        <w:t xml:space="preserve">  </w:t>
      </w:r>
      <w:r>
        <w:t xml:space="preserve">After </w:t>
      </w:r>
      <w:r w:rsidR="005D21A8">
        <w:t>the “</w:t>
      </w:r>
      <w:r>
        <w:t>roll back</w:t>
      </w:r>
      <w:r w:rsidR="005D21A8">
        <w:t>” is complete</w:t>
      </w:r>
      <w:r>
        <w:t>,</w:t>
      </w:r>
      <w:r w:rsidR="00744AB4">
        <w:t xml:space="preserve"> the monitor data was then interpolated geographically using an inverse distance weighting technique.</w:t>
      </w:r>
    </w:p>
    <w:p w14:paraId="4920FCDA" w14:textId="2874EEF9" w:rsidR="00C4017E" w:rsidRDefault="00907499" w:rsidP="001C2012">
      <w:r w:rsidRPr="000479C4">
        <w:t xml:space="preserve">There are </w:t>
      </w:r>
      <w:r w:rsidR="001100B3">
        <w:t>three</w:t>
      </w:r>
      <w:r w:rsidRPr="000479C4">
        <w:t xml:space="preserve"> techniques for rolling back the monitored values to the standard: percentage reduction, incremental, </w:t>
      </w:r>
      <w:r w:rsidR="001100B3">
        <w:t xml:space="preserve">and </w:t>
      </w:r>
      <w:r w:rsidRPr="000479C4">
        <w:t>peak shaving</w:t>
      </w:r>
      <w:r w:rsidR="00C4017E">
        <w:t xml:space="preserve"> that need to be applied to the inter-day and intra-day rollback</w:t>
      </w:r>
      <w:r w:rsidRPr="000479C4">
        <w:t xml:space="preserve">.  </w:t>
      </w:r>
      <w:r w:rsidR="00C4017E">
        <w:t>The peak shaving technique was employed for the inter-day rollback so values meeting the standard would not have reductions applied</w:t>
      </w:r>
      <w:r w:rsidR="005574C0">
        <w:t>, which would result in more conservative results</w:t>
      </w:r>
      <w:r w:rsidR="00C4017E">
        <w:t xml:space="preserve">.  </w:t>
      </w:r>
      <w:r w:rsidRPr="000479C4">
        <w:t xml:space="preserve">The percentage technique was employed </w:t>
      </w:r>
      <w:r w:rsidR="00C4017E">
        <w:t xml:space="preserve">for the intra-day rollback </w:t>
      </w:r>
      <w:r w:rsidRPr="000479C4">
        <w:t xml:space="preserve">since it best reflected the implementation of measures </w:t>
      </w:r>
      <w:r>
        <w:t xml:space="preserve">that </w:t>
      </w:r>
      <w:r w:rsidRPr="000479C4">
        <w:t xml:space="preserve">would affect each hour of the day equally.  </w:t>
      </w:r>
    </w:p>
    <w:p w14:paraId="190F6297" w14:textId="64558B5A" w:rsidR="00907499" w:rsidRPr="000479C4" w:rsidRDefault="00907499" w:rsidP="001C2012">
      <w:r w:rsidRPr="000479C4">
        <w:t>In conducting the analysis</w:t>
      </w:r>
      <w:r>
        <w:t>, including</w:t>
      </w:r>
      <w:r w:rsidRPr="000479C4">
        <w:t xml:space="preserve"> a background rate was necessary to prevent monitors from being lowered below what would occur absent anthropogenic emissions.  </w:t>
      </w:r>
      <w:r w:rsidR="00C70071">
        <w:t xml:space="preserve">There are a variety of estimates </w:t>
      </w:r>
      <w:r w:rsidR="00E56286">
        <w:t>for background, and even several values considered background (e.g., United States Background (USB) and North American Background (NAB)</w:t>
      </w:r>
      <w:r w:rsidRPr="000479C4">
        <w:t>.</w:t>
      </w:r>
      <w:r w:rsidR="00E56286">
        <w:t xml:space="preserve">  For this aspect of the </w:t>
      </w:r>
      <w:r w:rsidR="00E445FF">
        <w:t xml:space="preserve">modeling a value of 30 ppb was used </w:t>
      </w:r>
      <w:r w:rsidR="00E56286">
        <w:t>which is associated with lower levels of NAB found in the Eastern United States in the summer time as was presented in Figure 3-9 of EPA’s Integrated Scientific Assessment for the 2015 Ozone NAAQS.</w:t>
      </w:r>
      <w:r w:rsidR="00CE4AED">
        <w:rPr>
          <w:rStyle w:val="FootnoteReference"/>
        </w:rPr>
        <w:footnoteReference w:id="4"/>
      </w:r>
      <w:r w:rsidR="00E56286">
        <w:t xml:space="preserve"> </w:t>
      </w:r>
      <w:r w:rsidRPr="000479C4">
        <w:t xml:space="preserve"> </w:t>
      </w:r>
      <w:r w:rsidR="0000785A">
        <w:t>Peak shaving was used as the inter-day rollback method and percentage reduction was used as the intra-day rollback method.  In both cases 30 ppb was used for the background level.</w:t>
      </w:r>
    </w:p>
    <w:p w14:paraId="7E45FF30" w14:textId="77777777" w:rsidR="00907499" w:rsidRPr="000479C4" w:rsidRDefault="00907499" w:rsidP="001C2012">
      <w:r w:rsidRPr="000479C4">
        <w:t>One potential flaw with the rollback approach is that only monitors that have 4</w:t>
      </w:r>
      <w:r w:rsidRPr="000479C4">
        <w:rPr>
          <w:vertAlign w:val="superscript"/>
        </w:rPr>
        <w:t>th</w:t>
      </w:r>
      <w:r w:rsidRPr="000479C4">
        <w:t xml:space="preserve"> highest values above </w:t>
      </w:r>
      <w:r w:rsidR="001A4C39">
        <w:t>70 ppb</w:t>
      </w:r>
      <w:r w:rsidRPr="000479C4">
        <w:t xml:space="preserve"> w</w:t>
      </w:r>
      <w:r>
        <w:t>ere</w:t>
      </w:r>
      <w:r w:rsidRPr="000479C4">
        <w:t xml:space="preserve"> rolled back to the standard.  However, in a case where controls are put on to achieve such a monitored level, downwind areas would also have reduced ozone concentrations even though their monitors are already below the standard.  As a result, the health effects </w:t>
      </w:r>
      <w:r>
        <w:t>downwind</w:t>
      </w:r>
      <w:r w:rsidR="001100B3">
        <w:t>,</w:t>
      </w:r>
      <w:r>
        <w:t xml:space="preserve"> </w:t>
      </w:r>
      <w:r w:rsidRPr="000479C4">
        <w:t xml:space="preserve">in New England </w:t>
      </w:r>
      <w:r w:rsidR="001100B3">
        <w:t>in particular, a</w:t>
      </w:r>
      <w:r>
        <w:t>re</w:t>
      </w:r>
      <w:r w:rsidRPr="000479C4">
        <w:t xml:space="preserve"> lower than what would be experienced in a real world scenario.</w:t>
      </w:r>
    </w:p>
    <w:p w14:paraId="5E5BC773" w14:textId="77777777" w:rsidR="00907499" w:rsidRPr="000479C4" w:rsidRDefault="00907499" w:rsidP="001C2012">
      <w:pPr>
        <w:pStyle w:val="Heading2"/>
      </w:pPr>
      <w:r w:rsidRPr="000479C4">
        <w:t>Population</w:t>
      </w:r>
    </w:p>
    <w:p w14:paraId="41E1A8C1" w14:textId="0AB8666D" w:rsidR="00476B35" w:rsidRDefault="00907499" w:rsidP="00880057">
      <w:r w:rsidRPr="000479C4">
        <w:t>US population data were based on estimates of populations</w:t>
      </w:r>
      <w:r w:rsidR="00495F9E">
        <w:t xml:space="preserve"> in the corresponding year</w:t>
      </w:r>
      <w:r w:rsidRPr="000479C4">
        <w:t xml:space="preserve"> </w:t>
      </w:r>
      <w:r w:rsidR="0005573F">
        <w:t xml:space="preserve">projected </w:t>
      </w:r>
      <w:r w:rsidRPr="000479C4">
        <w:t>from 20</w:t>
      </w:r>
      <w:r w:rsidR="0005573F">
        <w:t>1</w:t>
      </w:r>
      <w:r w:rsidRPr="000479C4">
        <w:t xml:space="preserve">0 block-level US Census data.  The </w:t>
      </w:r>
      <w:r w:rsidR="0005573F">
        <w:t>geographic extent of population</w:t>
      </w:r>
      <w:r w:rsidRPr="000479C4">
        <w:t xml:space="preserve"> w</w:t>
      </w:r>
      <w:r>
        <w:t>as</w:t>
      </w:r>
      <w:r w:rsidRPr="000479C4">
        <w:t xml:space="preserve"> </w:t>
      </w:r>
      <w:r w:rsidR="0005573F">
        <w:t xml:space="preserve">limited to the </w:t>
      </w:r>
      <w:r w:rsidRPr="000479C4">
        <w:t xml:space="preserve"> population that lives in the 12 full states in the OTR, the District of Columbia and the nine cities/counties in Virginia that are considered part of the </w:t>
      </w:r>
      <w:r w:rsidR="00FE71DA">
        <w:t>OTR</w:t>
      </w:r>
      <w:r w:rsidR="00476B35">
        <w:t xml:space="preserve">.  The total population used for each year is in </w:t>
      </w:r>
      <w:r w:rsidR="00476B35">
        <w:fldChar w:fldCharType="begin"/>
      </w:r>
      <w:r w:rsidR="00476B35">
        <w:instrText xml:space="preserve"> REF _Ref485809834 \h </w:instrText>
      </w:r>
      <w:r w:rsidR="0097041F">
        <w:instrText xml:space="preserve"> \* MERGEFORMAT </w:instrText>
      </w:r>
      <w:r w:rsidR="00476B35">
        <w:fldChar w:fldCharType="separate"/>
      </w:r>
      <w:r w:rsidR="00476B35">
        <w:t xml:space="preserve">Table </w:t>
      </w:r>
      <w:r w:rsidR="00476B35">
        <w:rPr>
          <w:noProof/>
        </w:rPr>
        <w:t>2</w:t>
      </w:r>
      <w:r w:rsidR="00476B35">
        <w:fldChar w:fldCharType="end"/>
      </w:r>
      <w:r w:rsidR="00476B35">
        <w:t>.</w:t>
      </w:r>
    </w:p>
    <w:p w14:paraId="0913C903" w14:textId="48004DDA" w:rsidR="00476B35" w:rsidRDefault="00476B35" w:rsidP="001C2012">
      <w:pPr>
        <w:pStyle w:val="Caption"/>
      </w:pPr>
      <w:bookmarkStart w:id="5" w:name="_Ref485809834"/>
      <w:r>
        <w:t xml:space="preserve">Table </w:t>
      </w:r>
      <w:fldSimple w:instr=" SEQ Table \* ARABIC ">
        <w:r w:rsidR="008E6BFD">
          <w:rPr>
            <w:noProof/>
          </w:rPr>
          <w:t>2</w:t>
        </w:r>
      </w:fldSimple>
      <w:bookmarkEnd w:id="5"/>
      <w:r>
        <w:t xml:space="preserve">: </w:t>
      </w:r>
      <w:r w:rsidR="007F4632">
        <w:t>Population by Year Analyzed</w:t>
      </w:r>
    </w:p>
    <w:tbl>
      <w:tblPr>
        <w:tblStyle w:val="TableGrid"/>
        <w:tblW w:w="0" w:type="auto"/>
        <w:tblLook w:val="04A0" w:firstRow="1" w:lastRow="0" w:firstColumn="1" w:lastColumn="0" w:noHBand="0" w:noVBand="1"/>
      </w:tblPr>
      <w:tblGrid>
        <w:gridCol w:w="1151"/>
        <w:gridCol w:w="1127"/>
        <w:gridCol w:w="1127"/>
        <w:gridCol w:w="1127"/>
        <w:gridCol w:w="1127"/>
      </w:tblGrid>
      <w:tr w:rsidR="00476B35" w:rsidRPr="001C2012" w14:paraId="2D251729" w14:textId="77777777" w:rsidTr="00476B35">
        <w:tc>
          <w:tcPr>
            <w:tcW w:w="1151" w:type="dxa"/>
          </w:tcPr>
          <w:p w14:paraId="57133ADA" w14:textId="77777777" w:rsidR="00476B35" w:rsidRPr="001C2012" w:rsidRDefault="00476B35" w:rsidP="001C2012">
            <w:pPr>
              <w:pStyle w:val="NoSpacing1"/>
              <w:rPr>
                <w:b/>
                <w:sz w:val="20"/>
                <w:szCs w:val="20"/>
              </w:rPr>
            </w:pPr>
            <w:r w:rsidRPr="001C2012">
              <w:rPr>
                <w:b/>
                <w:sz w:val="20"/>
                <w:szCs w:val="20"/>
              </w:rPr>
              <w:t>Year</w:t>
            </w:r>
          </w:p>
        </w:tc>
        <w:tc>
          <w:tcPr>
            <w:tcW w:w="716" w:type="dxa"/>
          </w:tcPr>
          <w:p w14:paraId="17C590F8" w14:textId="77777777" w:rsidR="00476B35" w:rsidRPr="001C2012" w:rsidRDefault="00476B35" w:rsidP="001C2012">
            <w:pPr>
              <w:pStyle w:val="NoSpacing1"/>
              <w:rPr>
                <w:b/>
                <w:sz w:val="20"/>
                <w:szCs w:val="20"/>
              </w:rPr>
            </w:pPr>
            <w:r w:rsidRPr="001C2012">
              <w:rPr>
                <w:b/>
                <w:sz w:val="20"/>
                <w:szCs w:val="20"/>
              </w:rPr>
              <w:t>2013</w:t>
            </w:r>
          </w:p>
        </w:tc>
        <w:tc>
          <w:tcPr>
            <w:tcW w:w="716" w:type="dxa"/>
          </w:tcPr>
          <w:p w14:paraId="1157306C" w14:textId="77777777" w:rsidR="00476B35" w:rsidRPr="001C2012" w:rsidRDefault="00476B35" w:rsidP="001C2012">
            <w:pPr>
              <w:pStyle w:val="NoSpacing1"/>
              <w:rPr>
                <w:b/>
                <w:sz w:val="20"/>
                <w:szCs w:val="20"/>
              </w:rPr>
            </w:pPr>
            <w:r w:rsidRPr="001C2012">
              <w:rPr>
                <w:b/>
                <w:sz w:val="20"/>
                <w:szCs w:val="20"/>
              </w:rPr>
              <w:t>2014</w:t>
            </w:r>
          </w:p>
        </w:tc>
        <w:tc>
          <w:tcPr>
            <w:tcW w:w="716" w:type="dxa"/>
          </w:tcPr>
          <w:p w14:paraId="58E946CC" w14:textId="77777777" w:rsidR="00476B35" w:rsidRPr="001C2012" w:rsidRDefault="00476B35" w:rsidP="001C2012">
            <w:pPr>
              <w:pStyle w:val="NoSpacing1"/>
              <w:rPr>
                <w:b/>
                <w:sz w:val="20"/>
                <w:szCs w:val="20"/>
              </w:rPr>
            </w:pPr>
            <w:r w:rsidRPr="001C2012">
              <w:rPr>
                <w:b/>
                <w:sz w:val="20"/>
                <w:szCs w:val="20"/>
              </w:rPr>
              <w:t>2015</w:t>
            </w:r>
          </w:p>
        </w:tc>
        <w:tc>
          <w:tcPr>
            <w:tcW w:w="716" w:type="dxa"/>
          </w:tcPr>
          <w:p w14:paraId="084DD65B" w14:textId="77777777" w:rsidR="00476B35" w:rsidRPr="001C2012" w:rsidRDefault="00476B35" w:rsidP="001C2012">
            <w:pPr>
              <w:pStyle w:val="NoSpacing1"/>
              <w:rPr>
                <w:b/>
                <w:sz w:val="20"/>
                <w:szCs w:val="20"/>
              </w:rPr>
            </w:pPr>
            <w:r w:rsidRPr="001C2012">
              <w:rPr>
                <w:b/>
                <w:sz w:val="20"/>
                <w:szCs w:val="20"/>
              </w:rPr>
              <w:t>2016</w:t>
            </w:r>
          </w:p>
        </w:tc>
      </w:tr>
      <w:tr w:rsidR="00476B35" w14:paraId="1E987B69" w14:textId="77777777" w:rsidTr="00476B35">
        <w:tc>
          <w:tcPr>
            <w:tcW w:w="1151" w:type="dxa"/>
          </w:tcPr>
          <w:p w14:paraId="02F638EB" w14:textId="77777777" w:rsidR="00476B35" w:rsidRPr="001C2012" w:rsidRDefault="00476B35" w:rsidP="001C2012">
            <w:pPr>
              <w:pStyle w:val="NoSpacing1"/>
              <w:rPr>
                <w:sz w:val="20"/>
                <w:szCs w:val="20"/>
              </w:rPr>
            </w:pPr>
            <w:r w:rsidRPr="001C2012">
              <w:rPr>
                <w:sz w:val="20"/>
                <w:szCs w:val="20"/>
              </w:rPr>
              <w:t>Population</w:t>
            </w:r>
          </w:p>
        </w:tc>
        <w:tc>
          <w:tcPr>
            <w:tcW w:w="716" w:type="dxa"/>
          </w:tcPr>
          <w:p w14:paraId="3AF24B9D" w14:textId="77777777" w:rsidR="00476B35" w:rsidRPr="001C2012" w:rsidRDefault="00DC11D6" w:rsidP="001C2012">
            <w:pPr>
              <w:pStyle w:val="NoSpacing1"/>
              <w:rPr>
                <w:sz w:val="20"/>
                <w:szCs w:val="20"/>
              </w:rPr>
            </w:pPr>
            <w:r w:rsidRPr="001C2012">
              <w:rPr>
                <w:sz w:val="20"/>
                <w:szCs w:val="20"/>
              </w:rPr>
              <w:t>66,403,000</w:t>
            </w:r>
          </w:p>
        </w:tc>
        <w:tc>
          <w:tcPr>
            <w:tcW w:w="716" w:type="dxa"/>
          </w:tcPr>
          <w:p w14:paraId="7C4BA15F" w14:textId="77777777" w:rsidR="00476B35" w:rsidRPr="001C2012" w:rsidRDefault="00DC11D6" w:rsidP="001C2012">
            <w:pPr>
              <w:pStyle w:val="NoSpacing1"/>
              <w:rPr>
                <w:sz w:val="20"/>
                <w:szCs w:val="20"/>
              </w:rPr>
            </w:pPr>
            <w:r w:rsidRPr="001C2012">
              <w:rPr>
                <w:sz w:val="20"/>
                <w:szCs w:val="20"/>
              </w:rPr>
              <w:t>66,610,000</w:t>
            </w:r>
          </w:p>
        </w:tc>
        <w:tc>
          <w:tcPr>
            <w:tcW w:w="716" w:type="dxa"/>
          </w:tcPr>
          <w:p w14:paraId="7C7ABA76" w14:textId="77777777" w:rsidR="00476B35" w:rsidRPr="001C2012" w:rsidRDefault="00DC11D6" w:rsidP="001C2012">
            <w:pPr>
              <w:pStyle w:val="NoSpacing1"/>
              <w:rPr>
                <w:sz w:val="20"/>
                <w:szCs w:val="20"/>
              </w:rPr>
            </w:pPr>
            <w:r w:rsidRPr="001C2012">
              <w:rPr>
                <w:sz w:val="20"/>
                <w:szCs w:val="20"/>
              </w:rPr>
              <w:t>66,928,000</w:t>
            </w:r>
          </w:p>
        </w:tc>
        <w:tc>
          <w:tcPr>
            <w:tcW w:w="716" w:type="dxa"/>
          </w:tcPr>
          <w:p w14:paraId="0B5031F0" w14:textId="77777777" w:rsidR="00476B35" w:rsidRPr="001C2012" w:rsidRDefault="00DC11D6" w:rsidP="001C2012">
            <w:pPr>
              <w:pStyle w:val="NoSpacing1"/>
              <w:rPr>
                <w:sz w:val="20"/>
                <w:szCs w:val="20"/>
              </w:rPr>
            </w:pPr>
            <w:r w:rsidRPr="001C2012">
              <w:rPr>
                <w:sz w:val="20"/>
                <w:szCs w:val="20"/>
              </w:rPr>
              <w:t>67,301,000</w:t>
            </w:r>
          </w:p>
        </w:tc>
      </w:tr>
    </w:tbl>
    <w:p w14:paraId="5AC33FF6" w14:textId="77777777" w:rsidR="00476B35" w:rsidRPr="000479C4" w:rsidRDefault="00476B35" w:rsidP="00907499">
      <w:pPr>
        <w:pStyle w:val="NoSpacing"/>
      </w:pPr>
    </w:p>
    <w:p w14:paraId="0F79B1E3" w14:textId="77777777" w:rsidR="00907499" w:rsidRPr="001C2012" w:rsidRDefault="00907499" w:rsidP="001C2012">
      <w:pPr>
        <w:pStyle w:val="Heading2"/>
      </w:pPr>
      <w:r w:rsidRPr="001C2012">
        <w:t xml:space="preserve">Selection of </w:t>
      </w:r>
      <w:r w:rsidR="00CC1254" w:rsidRPr="001C2012">
        <w:t>Health Impact</w:t>
      </w:r>
      <w:r w:rsidRPr="001C2012">
        <w:t xml:space="preserve"> Functions</w:t>
      </w:r>
    </w:p>
    <w:p w14:paraId="4AAA0C0F" w14:textId="32586E8D" w:rsidR="00CC1254" w:rsidRDefault="00907499" w:rsidP="001C2012">
      <w:r w:rsidRPr="000479C4">
        <w:t>There is evidence of a relationship between long-term exposure to concentrations of ozone and premature respiratory mortality, which is one of a few studies that detect an increase in mortality from long-term ozone exposure.</w:t>
      </w:r>
      <w:r w:rsidR="0018201D">
        <w:rPr>
          <w:rStyle w:val="FootnoteReference"/>
        </w:rPr>
        <w:footnoteReference w:id="5"/>
      </w:r>
      <w:r w:rsidRPr="000479C4">
        <w:t xml:space="preserve">  </w:t>
      </w:r>
      <w:r w:rsidR="00CC1254" w:rsidRPr="000479C4">
        <w:t>However there remain questions as to whether long</w:t>
      </w:r>
      <w:r w:rsidR="00CC1254">
        <w:t>-</w:t>
      </w:r>
      <w:r w:rsidR="00CC1254" w:rsidRPr="000479C4">
        <w:t xml:space="preserve">term </w:t>
      </w:r>
      <w:r w:rsidR="008E6BFD">
        <w:t xml:space="preserve">mortality has the same direct relationship to ozone exposure as short-term mortality does </w:t>
      </w:r>
      <w:r w:rsidR="00CC1254">
        <w:t xml:space="preserve">since this is a newer </w:t>
      </w:r>
      <w:r w:rsidR="008E6BFD">
        <w:t>finding in the literature</w:t>
      </w:r>
      <w:r w:rsidR="00CC1254">
        <w:t>, so this paper will only examine short-term mortality</w:t>
      </w:r>
      <w:r w:rsidR="00CC1254" w:rsidRPr="000479C4">
        <w:t>.  Additionally, several functions representing morbidity, including acute respiratory symptoms, respiratory hospital admissions, respiratory emergency rooms visits, and school loss days, w</w:t>
      </w:r>
      <w:r w:rsidR="00CC1254">
        <w:t>er</w:t>
      </w:r>
      <w:r w:rsidR="00CC1254" w:rsidRPr="000479C4">
        <w:t>e used</w:t>
      </w:r>
      <w:r w:rsidR="00CC1254">
        <w:t>, which are functions typically used in EPA studies</w:t>
      </w:r>
      <w:r w:rsidR="00CC1254" w:rsidRPr="000479C4">
        <w:t>.</w:t>
      </w:r>
      <w:r w:rsidR="00D95BF3">
        <w:t xml:space="preserve">  The process to aggregate the results of the health studies is in </w:t>
      </w:r>
      <w:r w:rsidR="00D95BF3">
        <w:fldChar w:fldCharType="begin"/>
      </w:r>
      <w:r w:rsidR="00D95BF3">
        <w:instrText xml:space="preserve"> REF _Ref487465358 \h </w:instrText>
      </w:r>
      <w:r w:rsidR="00D95BF3">
        <w:fldChar w:fldCharType="separate"/>
      </w:r>
      <w:r w:rsidR="00D95BF3">
        <w:t xml:space="preserve">Figure </w:t>
      </w:r>
      <w:r w:rsidR="00D95BF3">
        <w:rPr>
          <w:noProof/>
        </w:rPr>
        <w:t>1</w:t>
      </w:r>
      <w:r w:rsidR="00D95BF3">
        <w:fldChar w:fldCharType="end"/>
      </w:r>
      <w:r w:rsidR="00D95BF3">
        <w:t>.</w:t>
      </w:r>
    </w:p>
    <w:p w14:paraId="789D76EF" w14:textId="74AA84CA" w:rsidR="00D95BF3" w:rsidRDefault="00D95BF3" w:rsidP="00D95BF3">
      <w:pPr>
        <w:pStyle w:val="Caption"/>
      </w:pPr>
      <w:bookmarkStart w:id="6" w:name="_Ref487465358"/>
      <w:r>
        <w:t xml:space="preserve">Figure </w:t>
      </w:r>
      <w:fldSimple w:instr=" SEQ Figure \* ARABIC ">
        <w:r w:rsidR="00741738">
          <w:rPr>
            <w:noProof/>
          </w:rPr>
          <w:t>5</w:t>
        </w:r>
      </w:fldSimple>
      <w:bookmarkEnd w:id="6"/>
      <w:r>
        <w:t>: Aggregation of Health Effects Studies</w:t>
      </w:r>
    </w:p>
    <w:p w14:paraId="4BE8A6B6" w14:textId="77777777" w:rsidR="001C2012" w:rsidRPr="000479C4" w:rsidRDefault="001C2012" w:rsidP="00880057">
      <w:r>
        <w:rPr>
          <w:noProof/>
        </w:rPr>
        <w:drawing>
          <wp:inline distT="0" distB="0" distL="0" distR="0" wp14:anchorId="1F12662F" wp14:editId="750E25B6">
            <wp:extent cx="5486400" cy="375084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750849"/>
                    </a:xfrm>
                    <a:prstGeom prst="rect">
                      <a:avLst/>
                    </a:prstGeom>
                    <a:noFill/>
                  </pic:spPr>
                </pic:pic>
              </a:graphicData>
            </a:graphic>
          </wp:inline>
        </w:drawing>
      </w:r>
    </w:p>
    <w:p w14:paraId="37505F92" w14:textId="77777777" w:rsidR="00907499" w:rsidRPr="000479C4" w:rsidRDefault="00907499" w:rsidP="001C2012">
      <w:pPr>
        <w:pStyle w:val="Heading2"/>
      </w:pPr>
      <w:r w:rsidRPr="000479C4">
        <w:t>Baseline Incidence Rates</w:t>
      </w:r>
    </w:p>
    <w:p w14:paraId="216F3A82" w14:textId="0B058721" w:rsidR="00907499" w:rsidRDefault="00907499" w:rsidP="001C2012">
      <w:r w:rsidRPr="005F7AE7">
        <w:t>Baseline incidence rates that are part of EPA’s dataset were used in this analysis.  Projections of mortality incidence rates were available for 201</w:t>
      </w:r>
      <w:r w:rsidR="00F5584A">
        <w:t>5</w:t>
      </w:r>
      <w:r w:rsidR="00A635F2">
        <w:t xml:space="preserve"> which coincided with one of the years analyzed so it was determined to be the most appropriate data set</w:t>
      </w:r>
      <w:r w:rsidRPr="005F7AE7">
        <w:t xml:space="preserve"> and were used in the mortality health impact functions. </w:t>
      </w:r>
      <w:r w:rsidR="005525A9">
        <w:t>The</w:t>
      </w:r>
      <w:r w:rsidRPr="005F7AE7">
        <w:t xml:space="preserve"> incidence</w:t>
      </w:r>
      <w:r w:rsidR="005525A9">
        <w:t xml:space="preserve"> estimates</w:t>
      </w:r>
      <w:r w:rsidRPr="005F7AE7">
        <w:t xml:space="preserve"> </w:t>
      </w:r>
      <w:r w:rsidR="00103B8E" w:rsidRPr="005F7AE7">
        <w:t>for 20</w:t>
      </w:r>
      <w:r w:rsidR="00A635F2">
        <w:t>14</w:t>
      </w:r>
      <w:r w:rsidR="00103B8E" w:rsidRPr="005F7AE7">
        <w:t xml:space="preserve"> were used </w:t>
      </w:r>
      <w:r w:rsidR="00D121E2">
        <w:t>for</w:t>
      </w:r>
      <w:r w:rsidR="005525A9">
        <w:t xml:space="preserve"> </w:t>
      </w:r>
      <w:r w:rsidR="00103B8E" w:rsidRPr="005F7AE7">
        <w:t>the other health endpoints</w:t>
      </w:r>
      <w:r w:rsidR="00A635F2">
        <w:t xml:space="preserve">, since </w:t>
      </w:r>
      <w:r w:rsidR="00880057">
        <w:t xml:space="preserve">the incidence estimates </w:t>
      </w:r>
      <w:r w:rsidR="00A635F2">
        <w:t>also coincided with one of the years analyzed</w:t>
      </w:r>
      <w:r w:rsidR="00103B8E" w:rsidRPr="005F7AE7">
        <w:t>, excepting school loss days where 2000 was and</w:t>
      </w:r>
      <w:r w:rsidRPr="005F7AE7">
        <w:t xml:space="preserve"> acute respiratory systems </w:t>
      </w:r>
      <w:r w:rsidR="00103B8E" w:rsidRPr="005F7AE7">
        <w:t xml:space="preserve">which </w:t>
      </w:r>
      <w:r w:rsidRPr="005F7AE7">
        <w:t>has a slightly different form than the other functions</w:t>
      </w:r>
      <w:r w:rsidR="00D121E2">
        <w:t>,</w:t>
      </w:r>
      <w:r w:rsidRPr="005F7AE7">
        <w:t xml:space="preserve"> </w:t>
      </w:r>
      <w:r w:rsidR="00103B8E" w:rsidRPr="005F7AE7">
        <w:t>so</w:t>
      </w:r>
      <w:r w:rsidRPr="005F7AE7">
        <w:t xml:space="preserve"> baseline incidence rates are not included in the equation.</w:t>
      </w:r>
    </w:p>
    <w:p w14:paraId="4324583B" w14:textId="77777777" w:rsidR="00907499" w:rsidRDefault="00907499" w:rsidP="001C2012">
      <w:pPr>
        <w:pStyle w:val="Heading2"/>
      </w:pPr>
      <w:r>
        <w:t>Economic Analysis</w:t>
      </w:r>
    </w:p>
    <w:p w14:paraId="6459A274" w14:textId="5A7AA79F" w:rsidR="00CC1254" w:rsidRDefault="00CC1254" w:rsidP="001C2012">
      <w:r>
        <w:t>In order to quantify the impact of the health benefits the reduced incidence is multiplied by a valuation estimated through one of several techniques.  In the case of mortality</w:t>
      </w:r>
      <w:r w:rsidR="00FE71DA">
        <w:t>,</w:t>
      </w:r>
      <w:r>
        <w:t xml:space="preserve"> the Value of Statistical Life (VSL) based upon a normal distribution</w:t>
      </w:r>
      <w:r w:rsidR="00FE71DA" w:rsidRPr="00FE71DA">
        <w:t xml:space="preserve"> </w:t>
      </w:r>
      <w:r w:rsidR="00FE71DA">
        <w:t>was used</w:t>
      </w:r>
      <w:r>
        <w:t xml:space="preserve">.  The VSL uses differences in salaries and the inherent risk of a job to infer the rate at which life is valued.  A Willingness to Pay (WTP) estimate was used to monetize acute respiratory symptoms.  WTP relies on survey data to determine how much people value not having an adverse health effect.  Cost of Illness (COI) estimates were used to value emergency room visits and hospital admissions.  COI totals up the amount spent on medicine, hospital visits, etc. due to an adverse heath effect.  Since the VSL is based on hedonic economic analysis it best characterizes the complete value of the effect, with the WTP estimates characterizing less of the true cost, and COI capturing the least of the true cost.  </w:t>
      </w:r>
      <w:r w:rsidR="00D95BF3">
        <w:t xml:space="preserve">The process undertaken to aggregate the economic results are in </w:t>
      </w:r>
      <w:r w:rsidR="00D95BF3">
        <w:fldChar w:fldCharType="begin"/>
      </w:r>
      <w:r w:rsidR="00D95BF3">
        <w:instrText xml:space="preserve"> REF _Ref487465325 \h </w:instrText>
      </w:r>
      <w:r w:rsidR="00D95BF3">
        <w:fldChar w:fldCharType="separate"/>
      </w:r>
      <w:r w:rsidR="00D95BF3">
        <w:t xml:space="preserve">Figure </w:t>
      </w:r>
      <w:r w:rsidR="00D95BF3">
        <w:rPr>
          <w:noProof/>
        </w:rPr>
        <w:t>2</w:t>
      </w:r>
      <w:r w:rsidR="00D95BF3">
        <w:fldChar w:fldCharType="end"/>
      </w:r>
      <w:r w:rsidR="00D95BF3">
        <w:t>.</w:t>
      </w:r>
    </w:p>
    <w:p w14:paraId="5DBA1FDE" w14:textId="77777777" w:rsidR="00CC1254" w:rsidRDefault="00CC1254" w:rsidP="001C2012">
      <w:r>
        <w:t xml:space="preserve">Additionally, income effects were adjusted to </w:t>
      </w:r>
      <w:r w:rsidR="00A635F2">
        <w:t>the year analyzed</w:t>
      </w:r>
      <w:r>
        <w:t xml:space="preserve"> and all valuations are in 2010 U.S. Dollars, inflated using the Consumer Price Index (CPI) and </w:t>
      </w:r>
      <w:r w:rsidRPr="007E56AF">
        <w:t xml:space="preserve">Employer Costs for Employee Compensation </w:t>
      </w:r>
      <w:r>
        <w:t>(ECEC).</w:t>
      </w:r>
    </w:p>
    <w:p w14:paraId="48657EC9" w14:textId="35BED085" w:rsidR="00D95BF3" w:rsidRDefault="00D95BF3" w:rsidP="00D95BF3">
      <w:pPr>
        <w:pStyle w:val="Caption"/>
      </w:pPr>
      <w:bookmarkStart w:id="7" w:name="_Ref487465325"/>
      <w:r>
        <w:t xml:space="preserve">Figure </w:t>
      </w:r>
      <w:fldSimple w:instr=" SEQ Figure \* ARABIC ">
        <w:r w:rsidR="00741738">
          <w:rPr>
            <w:noProof/>
          </w:rPr>
          <w:t>6</w:t>
        </w:r>
      </w:fldSimple>
      <w:bookmarkEnd w:id="7"/>
      <w:r w:rsidRPr="00321B41">
        <w:t xml:space="preserve">: Aggregation of </w:t>
      </w:r>
      <w:r>
        <w:t>Economic Evaluations</w:t>
      </w:r>
    </w:p>
    <w:p w14:paraId="78BDB783" w14:textId="77777777" w:rsidR="00D95BF3" w:rsidRPr="001C5F7A" w:rsidRDefault="00D95BF3" w:rsidP="00880057">
      <w:r>
        <w:rPr>
          <w:noProof/>
        </w:rPr>
        <w:drawing>
          <wp:inline distT="0" distB="0" distL="0" distR="0" wp14:anchorId="4D152A7F" wp14:editId="400C33B6">
            <wp:extent cx="5486400" cy="259317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593176"/>
                    </a:xfrm>
                    <a:prstGeom prst="rect">
                      <a:avLst/>
                    </a:prstGeom>
                    <a:noFill/>
                  </pic:spPr>
                </pic:pic>
              </a:graphicData>
            </a:graphic>
          </wp:inline>
        </w:drawing>
      </w:r>
    </w:p>
    <w:p w14:paraId="69A6BBAC" w14:textId="3188E17E" w:rsidR="00F5798E" w:rsidRDefault="00F5798E" w:rsidP="001C2012">
      <w:pPr>
        <w:sectPr w:rsidR="00F5798E" w:rsidSect="00907499">
          <w:headerReference w:type="default" r:id="rId13"/>
          <w:footerReference w:type="default" r:id="rId14"/>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0"/>
        <w:gridCol w:w="4800"/>
        <w:gridCol w:w="4800"/>
      </w:tblGrid>
      <w:tr w:rsidR="00F5798E" w14:paraId="215574C0" w14:textId="304D3435" w:rsidTr="00F61407">
        <w:tc>
          <w:tcPr>
            <w:tcW w:w="4896" w:type="dxa"/>
          </w:tcPr>
          <w:p w14:paraId="6AF53225" w14:textId="02E015A1" w:rsidR="00F5798E" w:rsidRPr="00BD311C" w:rsidRDefault="00F5798E" w:rsidP="001C2012">
            <w:pPr>
              <w:pStyle w:val="Caption"/>
            </w:pPr>
            <w:bookmarkStart w:id="8" w:name="_Ref485801776"/>
            <w:r w:rsidRPr="00BD311C">
              <w:t xml:space="preserve">Figure </w:t>
            </w:r>
            <w:fldSimple w:instr=" SEQ Figure \* ARABIC ">
              <w:r w:rsidR="00741738">
                <w:rPr>
                  <w:noProof/>
                </w:rPr>
                <w:t>7</w:t>
              </w:r>
            </w:fldSimple>
            <w:bookmarkEnd w:id="8"/>
            <w:r w:rsidRPr="00BD311C">
              <w:t xml:space="preserve">: </w:t>
            </w:r>
            <w:r>
              <w:t xml:space="preserve">Change in avg. 8-hour max. ozone due to roll back to </w:t>
            </w:r>
            <w:r w:rsidRPr="00BD311C">
              <w:t>70</w:t>
            </w:r>
            <w:r>
              <w:t xml:space="preserve"> </w:t>
            </w:r>
            <w:r w:rsidRPr="00BD311C">
              <w:t xml:space="preserve">ppb </w:t>
            </w:r>
            <w:r>
              <w:t xml:space="preserve">using data from </w:t>
            </w:r>
            <w:r w:rsidRPr="00BD311C">
              <w:t>2013</w:t>
            </w:r>
          </w:p>
          <w:p w14:paraId="5B9199D8" w14:textId="4E5399FF" w:rsidR="00F5798E" w:rsidRDefault="00706070" w:rsidP="00880057">
            <w:r>
              <w:rPr>
                <w:noProof/>
              </w:rPr>
              <w:drawing>
                <wp:inline distT="0" distB="0" distL="0" distR="0" wp14:anchorId="5399BAE0" wp14:editId="63A0DF66">
                  <wp:extent cx="2971800" cy="21013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0ppb 2013 8 hour max delta ma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1800" cy="2101310"/>
                          </a:xfrm>
                          <a:prstGeom prst="rect">
                            <a:avLst/>
                          </a:prstGeom>
                        </pic:spPr>
                      </pic:pic>
                    </a:graphicData>
                  </a:graphic>
                </wp:inline>
              </w:drawing>
            </w:r>
          </w:p>
        </w:tc>
        <w:tc>
          <w:tcPr>
            <w:tcW w:w="4896" w:type="dxa"/>
          </w:tcPr>
          <w:p w14:paraId="7BC7DC97" w14:textId="29C62777" w:rsidR="00F5798E" w:rsidRDefault="00F5798E" w:rsidP="001C2012">
            <w:pPr>
              <w:pStyle w:val="Caption"/>
            </w:pPr>
            <w:r>
              <w:t xml:space="preserve">Figure </w:t>
            </w:r>
            <w:fldSimple w:instr=" SEQ Figure \* ARABIC ">
              <w:r w:rsidR="00741738">
                <w:rPr>
                  <w:noProof/>
                </w:rPr>
                <w:t>8</w:t>
              </w:r>
            </w:fldSimple>
            <w:r>
              <w:t>: Change in avg. 8-hour max. ozone due to roll back to 65 pp</w:t>
            </w:r>
            <w:r w:rsidRPr="00C6070E">
              <w:t>b</w:t>
            </w:r>
            <w:r w:rsidRPr="00BD311C">
              <w:t xml:space="preserve"> </w:t>
            </w:r>
            <w:r>
              <w:t>using data from</w:t>
            </w:r>
            <w:r w:rsidRPr="00C6070E">
              <w:t xml:space="preserve"> 2013</w:t>
            </w:r>
          </w:p>
          <w:p w14:paraId="3D6686FD" w14:textId="2AC0560F" w:rsidR="00F5798E" w:rsidRDefault="008611DE" w:rsidP="00880057">
            <w:r>
              <w:rPr>
                <w:noProof/>
              </w:rPr>
              <w:drawing>
                <wp:inline distT="0" distB="0" distL="0" distR="0" wp14:anchorId="5ABCAACD" wp14:editId="60CE495D">
                  <wp:extent cx="2971800" cy="21013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5ppb 2013 8 hour max delta ma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1800" cy="2101310"/>
                          </a:xfrm>
                          <a:prstGeom prst="rect">
                            <a:avLst/>
                          </a:prstGeom>
                        </pic:spPr>
                      </pic:pic>
                    </a:graphicData>
                  </a:graphic>
                </wp:inline>
              </w:drawing>
            </w:r>
          </w:p>
        </w:tc>
        <w:tc>
          <w:tcPr>
            <w:tcW w:w="3168" w:type="dxa"/>
          </w:tcPr>
          <w:p w14:paraId="7AA641E0" w14:textId="31E4D37A" w:rsidR="008611DE" w:rsidRDefault="008611DE" w:rsidP="008611DE">
            <w:pPr>
              <w:pStyle w:val="Caption"/>
            </w:pPr>
            <w:r>
              <w:t xml:space="preserve">Figure </w:t>
            </w:r>
            <w:fldSimple w:instr=" SEQ Figure \* ARABIC ">
              <w:r w:rsidR="00741738">
                <w:rPr>
                  <w:noProof/>
                </w:rPr>
                <w:t>9</w:t>
              </w:r>
            </w:fldSimple>
            <w:r>
              <w:t>: Change in avg. 8-hour max. ozone due to roll back to 40 pp</w:t>
            </w:r>
            <w:r w:rsidRPr="00C6070E">
              <w:t>b</w:t>
            </w:r>
            <w:r w:rsidRPr="00BD311C">
              <w:t xml:space="preserve"> </w:t>
            </w:r>
            <w:r>
              <w:t>using data from</w:t>
            </w:r>
            <w:r w:rsidRPr="00C6070E">
              <w:t xml:space="preserve"> 2013</w:t>
            </w:r>
          </w:p>
          <w:p w14:paraId="1CD8AFEB" w14:textId="345E0D1B" w:rsidR="00F5798E" w:rsidRDefault="008611DE" w:rsidP="00880057">
            <w:r>
              <w:rPr>
                <w:noProof/>
              </w:rPr>
              <w:drawing>
                <wp:inline distT="0" distB="0" distL="0" distR="0" wp14:anchorId="17299702" wp14:editId="0180D3F9">
                  <wp:extent cx="2971800" cy="21013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0ppb 2013 8 hour max delta map.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1800" cy="2101310"/>
                          </a:xfrm>
                          <a:prstGeom prst="rect">
                            <a:avLst/>
                          </a:prstGeom>
                        </pic:spPr>
                      </pic:pic>
                    </a:graphicData>
                  </a:graphic>
                </wp:inline>
              </w:drawing>
            </w:r>
          </w:p>
        </w:tc>
      </w:tr>
      <w:tr w:rsidR="00F5798E" w14:paraId="5979B803" w14:textId="3FE19BF8" w:rsidTr="00F61407">
        <w:tc>
          <w:tcPr>
            <w:tcW w:w="4896" w:type="dxa"/>
          </w:tcPr>
          <w:p w14:paraId="666C9F3F" w14:textId="3291C198" w:rsidR="00F5798E" w:rsidRDefault="00F5798E" w:rsidP="001C2012">
            <w:pPr>
              <w:pStyle w:val="Caption"/>
            </w:pPr>
            <w:r>
              <w:t xml:space="preserve">Figure </w:t>
            </w:r>
            <w:fldSimple w:instr=" SEQ Figure \* ARABIC ">
              <w:r w:rsidR="00741738">
                <w:rPr>
                  <w:noProof/>
                </w:rPr>
                <w:t>10</w:t>
              </w:r>
            </w:fldSimple>
            <w:r w:rsidRPr="00D92946">
              <w:t xml:space="preserve">: </w:t>
            </w:r>
            <w:r>
              <w:t xml:space="preserve">Change in avg. 8-hour max. ozone due to roll back to </w:t>
            </w:r>
            <w:r w:rsidRPr="00D92946">
              <w:t>70</w:t>
            </w:r>
            <w:r>
              <w:t xml:space="preserve"> </w:t>
            </w:r>
            <w:r w:rsidRPr="00D92946">
              <w:t>ppb</w:t>
            </w:r>
            <w:r w:rsidRPr="00BD311C">
              <w:t xml:space="preserve"> </w:t>
            </w:r>
            <w:r>
              <w:t>using data from</w:t>
            </w:r>
            <w:r w:rsidRPr="00D92946">
              <w:t xml:space="preserve"> 201</w:t>
            </w:r>
            <w:r>
              <w:t>4</w:t>
            </w:r>
          </w:p>
          <w:p w14:paraId="7026283F" w14:textId="7C1326A5" w:rsidR="00F5798E" w:rsidRDefault="00706070" w:rsidP="00880057">
            <w:r>
              <w:rPr>
                <w:noProof/>
              </w:rPr>
              <w:drawing>
                <wp:inline distT="0" distB="0" distL="0" distR="0" wp14:anchorId="1A8E7CE7" wp14:editId="33133EE7">
                  <wp:extent cx="2971800" cy="21013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0ppb 2014 8 hour max delta map.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1800" cy="2101310"/>
                          </a:xfrm>
                          <a:prstGeom prst="rect">
                            <a:avLst/>
                          </a:prstGeom>
                        </pic:spPr>
                      </pic:pic>
                    </a:graphicData>
                  </a:graphic>
                </wp:inline>
              </w:drawing>
            </w:r>
          </w:p>
        </w:tc>
        <w:tc>
          <w:tcPr>
            <w:tcW w:w="4896" w:type="dxa"/>
          </w:tcPr>
          <w:p w14:paraId="02E2FC77" w14:textId="1CBCA8A1" w:rsidR="00F5798E" w:rsidRDefault="00F5798E" w:rsidP="001C2012">
            <w:pPr>
              <w:pStyle w:val="Caption"/>
            </w:pPr>
            <w:r>
              <w:t xml:space="preserve">Figure </w:t>
            </w:r>
            <w:fldSimple w:instr=" SEQ Figure \* ARABIC ">
              <w:r w:rsidR="00741738">
                <w:rPr>
                  <w:noProof/>
                </w:rPr>
                <w:t>11</w:t>
              </w:r>
            </w:fldSimple>
            <w:r w:rsidRPr="00D14701">
              <w:t xml:space="preserve">: </w:t>
            </w:r>
            <w:r>
              <w:t xml:space="preserve">Change in avg. 8-hour max. ozone due to roll back to 65 </w:t>
            </w:r>
            <w:r w:rsidRPr="00D14701">
              <w:t>ppb</w:t>
            </w:r>
            <w:r w:rsidRPr="00BD311C">
              <w:t xml:space="preserve"> </w:t>
            </w:r>
            <w:r>
              <w:t>using data from</w:t>
            </w:r>
            <w:r w:rsidRPr="00D14701">
              <w:t xml:space="preserve"> 2014</w:t>
            </w:r>
          </w:p>
          <w:p w14:paraId="58FC1335" w14:textId="4A84179F" w:rsidR="00F5798E" w:rsidRDefault="00706070" w:rsidP="00880057">
            <w:r>
              <w:rPr>
                <w:noProof/>
              </w:rPr>
              <w:drawing>
                <wp:inline distT="0" distB="0" distL="0" distR="0" wp14:anchorId="4C297D40" wp14:editId="47EFC614">
                  <wp:extent cx="2971800" cy="21013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5ppb 2014 8 hour max delta map.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1800" cy="2101310"/>
                          </a:xfrm>
                          <a:prstGeom prst="rect">
                            <a:avLst/>
                          </a:prstGeom>
                        </pic:spPr>
                      </pic:pic>
                    </a:graphicData>
                  </a:graphic>
                </wp:inline>
              </w:drawing>
            </w:r>
          </w:p>
        </w:tc>
        <w:tc>
          <w:tcPr>
            <w:tcW w:w="3168" w:type="dxa"/>
          </w:tcPr>
          <w:p w14:paraId="32D0EC56" w14:textId="0C9DFC1D" w:rsidR="005C3A33" w:rsidRDefault="005C3A33" w:rsidP="005C3A33">
            <w:pPr>
              <w:pStyle w:val="Caption"/>
            </w:pPr>
            <w:r>
              <w:t xml:space="preserve">Figure </w:t>
            </w:r>
            <w:fldSimple w:instr=" SEQ Figure \* ARABIC ">
              <w:r w:rsidR="00741738">
                <w:rPr>
                  <w:noProof/>
                </w:rPr>
                <w:t>12</w:t>
              </w:r>
            </w:fldSimple>
            <w:r w:rsidRPr="00AC48AB">
              <w:t xml:space="preserve">: Change in avg. 8-hour max. ozone due to roll back to </w:t>
            </w:r>
            <w:r>
              <w:t>4</w:t>
            </w:r>
            <w:r w:rsidRPr="00AC48AB">
              <w:t>0 ppb using data from 2014</w:t>
            </w:r>
          </w:p>
          <w:p w14:paraId="4D294B84" w14:textId="44F3974E" w:rsidR="00F5798E" w:rsidRDefault="00706070" w:rsidP="00880057">
            <w:r>
              <w:rPr>
                <w:noProof/>
              </w:rPr>
              <w:drawing>
                <wp:inline distT="0" distB="0" distL="0" distR="0" wp14:anchorId="7E3762B9" wp14:editId="6733D260">
                  <wp:extent cx="2971800" cy="21013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0ppb 2014 8 hour max delta map.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1800" cy="2101310"/>
                          </a:xfrm>
                          <a:prstGeom prst="rect">
                            <a:avLst/>
                          </a:prstGeom>
                        </pic:spPr>
                      </pic:pic>
                    </a:graphicData>
                  </a:graphic>
                </wp:inline>
              </w:drawing>
            </w:r>
          </w:p>
        </w:tc>
      </w:tr>
      <w:tr w:rsidR="00F5798E" w14:paraId="0090611E" w14:textId="4442D94D" w:rsidTr="00F61407">
        <w:tc>
          <w:tcPr>
            <w:tcW w:w="4896" w:type="dxa"/>
          </w:tcPr>
          <w:p w14:paraId="2D95412E" w14:textId="23DD8CEC" w:rsidR="00F5798E" w:rsidRDefault="00F5798E" w:rsidP="001C2012">
            <w:pPr>
              <w:pStyle w:val="Caption"/>
            </w:pPr>
            <w:r>
              <w:t xml:space="preserve">Figure </w:t>
            </w:r>
            <w:fldSimple w:instr=" SEQ Figure \* ARABIC ">
              <w:r w:rsidR="00741738">
                <w:rPr>
                  <w:noProof/>
                </w:rPr>
                <w:t>13</w:t>
              </w:r>
            </w:fldSimple>
            <w:r w:rsidRPr="00BB74C2">
              <w:t xml:space="preserve">: </w:t>
            </w:r>
            <w:r>
              <w:t xml:space="preserve">Change in avg. 8-hour max. ozone due to roll back to </w:t>
            </w:r>
            <w:r w:rsidRPr="00BB74C2">
              <w:t>70</w:t>
            </w:r>
            <w:r>
              <w:t xml:space="preserve"> </w:t>
            </w:r>
            <w:r w:rsidRPr="00BB74C2">
              <w:t>ppb</w:t>
            </w:r>
            <w:r w:rsidRPr="00BD311C">
              <w:t xml:space="preserve"> </w:t>
            </w:r>
            <w:r>
              <w:t>using data from</w:t>
            </w:r>
            <w:r w:rsidRPr="00BB74C2">
              <w:t xml:space="preserve"> 201</w:t>
            </w:r>
            <w:r>
              <w:t>5</w:t>
            </w:r>
          </w:p>
          <w:p w14:paraId="51F23F60" w14:textId="233D1EA0" w:rsidR="00F5798E" w:rsidRDefault="00706070" w:rsidP="00880057">
            <w:r>
              <w:rPr>
                <w:noProof/>
              </w:rPr>
              <w:drawing>
                <wp:inline distT="0" distB="0" distL="0" distR="0" wp14:anchorId="1AADFAB0" wp14:editId="1AAC3582">
                  <wp:extent cx="2971800" cy="21013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0ppb 2015 8 hour max delta map.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1800" cy="2101310"/>
                          </a:xfrm>
                          <a:prstGeom prst="rect">
                            <a:avLst/>
                          </a:prstGeom>
                        </pic:spPr>
                      </pic:pic>
                    </a:graphicData>
                  </a:graphic>
                </wp:inline>
              </w:drawing>
            </w:r>
          </w:p>
        </w:tc>
        <w:tc>
          <w:tcPr>
            <w:tcW w:w="4896" w:type="dxa"/>
          </w:tcPr>
          <w:p w14:paraId="55763285" w14:textId="05740FE8" w:rsidR="00F5798E" w:rsidRDefault="00F5798E" w:rsidP="001C2012">
            <w:pPr>
              <w:pStyle w:val="Caption"/>
            </w:pPr>
            <w:r>
              <w:t xml:space="preserve">Figure </w:t>
            </w:r>
            <w:fldSimple w:instr=" SEQ Figure \* ARABIC ">
              <w:r w:rsidR="00741738">
                <w:rPr>
                  <w:noProof/>
                </w:rPr>
                <w:t>14</w:t>
              </w:r>
            </w:fldSimple>
            <w:r w:rsidRPr="008B3232">
              <w:t xml:space="preserve">: </w:t>
            </w:r>
            <w:r>
              <w:t xml:space="preserve">Change in avg. 8-hour max. ozone due to roll back to </w:t>
            </w:r>
            <w:r w:rsidRPr="008B3232">
              <w:t>65</w:t>
            </w:r>
            <w:r>
              <w:t xml:space="preserve"> </w:t>
            </w:r>
            <w:r w:rsidRPr="008B3232">
              <w:t>ppb</w:t>
            </w:r>
            <w:r w:rsidRPr="00BD311C">
              <w:t xml:space="preserve"> </w:t>
            </w:r>
            <w:r>
              <w:t>using data from</w:t>
            </w:r>
            <w:r w:rsidRPr="008B3232">
              <w:t xml:space="preserve"> 201</w:t>
            </w:r>
            <w:r>
              <w:t>5</w:t>
            </w:r>
          </w:p>
          <w:p w14:paraId="327D00B1" w14:textId="2491E32D" w:rsidR="00F5798E" w:rsidRDefault="00706070" w:rsidP="00880057">
            <w:r>
              <w:rPr>
                <w:noProof/>
              </w:rPr>
              <w:drawing>
                <wp:inline distT="0" distB="0" distL="0" distR="0" wp14:anchorId="70D1D465" wp14:editId="3266B6A5">
                  <wp:extent cx="2971800" cy="21013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5ppb 2015 8 hour max delta map.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1800" cy="2101310"/>
                          </a:xfrm>
                          <a:prstGeom prst="rect">
                            <a:avLst/>
                          </a:prstGeom>
                        </pic:spPr>
                      </pic:pic>
                    </a:graphicData>
                  </a:graphic>
                </wp:inline>
              </w:drawing>
            </w:r>
          </w:p>
        </w:tc>
        <w:tc>
          <w:tcPr>
            <w:tcW w:w="3168" w:type="dxa"/>
          </w:tcPr>
          <w:p w14:paraId="71279D0B" w14:textId="5092E669" w:rsidR="00FF2BEF" w:rsidRDefault="00FF2BEF" w:rsidP="00FF2BEF">
            <w:pPr>
              <w:pStyle w:val="Caption"/>
            </w:pPr>
            <w:r>
              <w:t xml:space="preserve">Figure </w:t>
            </w:r>
            <w:fldSimple w:instr=" SEQ Figure \* ARABIC ">
              <w:r w:rsidR="00741738">
                <w:rPr>
                  <w:noProof/>
                </w:rPr>
                <w:t>15</w:t>
              </w:r>
            </w:fldSimple>
            <w:r w:rsidRPr="00400386">
              <w:t>: Change in avg. 8-hour max. ozone due to roll bac</w:t>
            </w:r>
            <w:r>
              <w:t>k to 40 ppb using data from 2015</w:t>
            </w:r>
          </w:p>
          <w:p w14:paraId="53972A5A" w14:textId="0D2000E7" w:rsidR="00F5798E" w:rsidRDefault="00706070" w:rsidP="00880057">
            <w:r>
              <w:rPr>
                <w:noProof/>
              </w:rPr>
              <w:drawing>
                <wp:inline distT="0" distB="0" distL="0" distR="0" wp14:anchorId="78540A4B" wp14:editId="445B2F92">
                  <wp:extent cx="2971800" cy="21013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0ppb 2015 8 hour max delta map.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1800" cy="2101310"/>
                          </a:xfrm>
                          <a:prstGeom prst="rect">
                            <a:avLst/>
                          </a:prstGeom>
                        </pic:spPr>
                      </pic:pic>
                    </a:graphicData>
                  </a:graphic>
                </wp:inline>
              </w:drawing>
            </w:r>
          </w:p>
        </w:tc>
      </w:tr>
      <w:tr w:rsidR="00F5798E" w14:paraId="7B5E1562" w14:textId="69408E31" w:rsidTr="00F61407">
        <w:tc>
          <w:tcPr>
            <w:tcW w:w="4896" w:type="dxa"/>
          </w:tcPr>
          <w:p w14:paraId="3DEA7512" w14:textId="2E9E2DA7" w:rsidR="00F5798E" w:rsidRDefault="00F5798E" w:rsidP="001C2012">
            <w:pPr>
              <w:pStyle w:val="Caption"/>
            </w:pPr>
            <w:r>
              <w:t xml:space="preserve">Figure </w:t>
            </w:r>
            <w:fldSimple w:instr=" SEQ Figure \* ARABIC ">
              <w:r w:rsidR="00741738">
                <w:rPr>
                  <w:noProof/>
                </w:rPr>
                <w:t>16</w:t>
              </w:r>
            </w:fldSimple>
            <w:r w:rsidRPr="007470C8">
              <w:t xml:space="preserve">: </w:t>
            </w:r>
            <w:r>
              <w:t xml:space="preserve">Change in avg. 8-hour max. ozone due to roll back to </w:t>
            </w:r>
            <w:r w:rsidRPr="007470C8">
              <w:t>70</w:t>
            </w:r>
            <w:r>
              <w:t xml:space="preserve"> </w:t>
            </w:r>
            <w:r w:rsidRPr="007470C8">
              <w:t>ppb</w:t>
            </w:r>
            <w:r w:rsidRPr="00BD311C">
              <w:t xml:space="preserve"> </w:t>
            </w:r>
            <w:r>
              <w:t>using data from</w:t>
            </w:r>
            <w:r w:rsidRPr="007470C8">
              <w:t xml:space="preserve"> 201</w:t>
            </w:r>
            <w:r>
              <w:t>6</w:t>
            </w:r>
          </w:p>
          <w:p w14:paraId="6699FDB8" w14:textId="6B1F5FC9" w:rsidR="00F5798E" w:rsidRDefault="00706070" w:rsidP="00880057">
            <w:r>
              <w:rPr>
                <w:noProof/>
              </w:rPr>
              <w:drawing>
                <wp:inline distT="0" distB="0" distL="0" distR="0" wp14:anchorId="54CE8D67" wp14:editId="3D3200C1">
                  <wp:extent cx="2971800" cy="21013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0ppb 2016 8 hour max delta map.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1800" cy="2101310"/>
                          </a:xfrm>
                          <a:prstGeom prst="rect">
                            <a:avLst/>
                          </a:prstGeom>
                        </pic:spPr>
                      </pic:pic>
                    </a:graphicData>
                  </a:graphic>
                </wp:inline>
              </w:drawing>
            </w:r>
          </w:p>
        </w:tc>
        <w:tc>
          <w:tcPr>
            <w:tcW w:w="4896" w:type="dxa"/>
          </w:tcPr>
          <w:p w14:paraId="3CA75A67" w14:textId="054A1B8A" w:rsidR="00F5798E" w:rsidRDefault="00F5798E" w:rsidP="001C2012">
            <w:pPr>
              <w:pStyle w:val="Caption"/>
            </w:pPr>
            <w:bookmarkStart w:id="9" w:name="_Ref485801778"/>
            <w:r>
              <w:t xml:space="preserve">Figure </w:t>
            </w:r>
            <w:fldSimple w:instr=" SEQ Figure \* ARABIC ">
              <w:r w:rsidR="00741738">
                <w:rPr>
                  <w:noProof/>
                </w:rPr>
                <w:t>17</w:t>
              </w:r>
            </w:fldSimple>
            <w:bookmarkEnd w:id="9"/>
            <w:r w:rsidRPr="00647F4B">
              <w:t xml:space="preserve">: </w:t>
            </w:r>
            <w:r>
              <w:t xml:space="preserve">Change in avg. 8-hour max. ozone due to roll back to 65 </w:t>
            </w:r>
            <w:r w:rsidRPr="00647F4B">
              <w:t>ppb</w:t>
            </w:r>
            <w:r w:rsidRPr="00BD311C">
              <w:t xml:space="preserve"> </w:t>
            </w:r>
            <w:r>
              <w:t>using data from</w:t>
            </w:r>
            <w:r w:rsidRPr="00647F4B">
              <w:t xml:space="preserve"> 2016</w:t>
            </w:r>
          </w:p>
          <w:p w14:paraId="7B440418" w14:textId="353B3AB3" w:rsidR="00F5798E" w:rsidRDefault="00706070" w:rsidP="00880057">
            <w:r>
              <w:rPr>
                <w:noProof/>
              </w:rPr>
              <w:drawing>
                <wp:inline distT="0" distB="0" distL="0" distR="0" wp14:anchorId="59969FD2" wp14:editId="740EB3A2">
                  <wp:extent cx="2971800" cy="21013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5ppb 2016 8 hour max delta ma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71800" cy="2101310"/>
                          </a:xfrm>
                          <a:prstGeom prst="rect">
                            <a:avLst/>
                          </a:prstGeom>
                        </pic:spPr>
                      </pic:pic>
                    </a:graphicData>
                  </a:graphic>
                </wp:inline>
              </w:drawing>
            </w:r>
          </w:p>
        </w:tc>
        <w:tc>
          <w:tcPr>
            <w:tcW w:w="3168" w:type="dxa"/>
          </w:tcPr>
          <w:p w14:paraId="21386039" w14:textId="228E95F4" w:rsidR="00FF2BEF" w:rsidRDefault="00FF2BEF" w:rsidP="00FF2BEF">
            <w:pPr>
              <w:pStyle w:val="Caption"/>
            </w:pPr>
            <w:bookmarkStart w:id="10" w:name="_Ref492368592"/>
            <w:r>
              <w:t xml:space="preserve">Figure </w:t>
            </w:r>
            <w:fldSimple w:instr=" SEQ Figure \* ARABIC ">
              <w:r w:rsidR="00741738">
                <w:rPr>
                  <w:noProof/>
                </w:rPr>
                <w:t>18</w:t>
              </w:r>
            </w:fldSimple>
            <w:bookmarkEnd w:id="10"/>
            <w:r w:rsidRPr="00647F4B">
              <w:t xml:space="preserve">: </w:t>
            </w:r>
            <w:r>
              <w:t xml:space="preserve">Change in avg. 8-hour max. ozone due to roll back to 40 </w:t>
            </w:r>
            <w:r w:rsidRPr="00647F4B">
              <w:t>ppb</w:t>
            </w:r>
            <w:r w:rsidRPr="00BD311C">
              <w:t xml:space="preserve"> </w:t>
            </w:r>
            <w:r>
              <w:t>using data from</w:t>
            </w:r>
            <w:r w:rsidRPr="00647F4B">
              <w:t xml:space="preserve"> 2016</w:t>
            </w:r>
          </w:p>
          <w:p w14:paraId="6C9BE349" w14:textId="61973D0C" w:rsidR="00F5798E" w:rsidRDefault="00706070" w:rsidP="00880057">
            <w:r>
              <w:rPr>
                <w:noProof/>
              </w:rPr>
              <w:drawing>
                <wp:inline distT="0" distB="0" distL="0" distR="0" wp14:anchorId="18C175C7" wp14:editId="140993A9">
                  <wp:extent cx="2971800" cy="21013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0ppb 2016 8 hour max delta map.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71800" cy="2101310"/>
                          </a:xfrm>
                          <a:prstGeom prst="rect">
                            <a:avLst/>
                          </a:prstGeom>
                        </pic:spPr>
                      </pic:pic>
                    </a:graphicData>
                  </a:graphic>
                </wp:inline>
              </w:drawing>
            </w:r>
          </w:p>
        </w:tc>
      </w:tr>
    </w:tbl>
    <w:p w14:paraId="63675CCA" w14:textId="77777777" w:rsidR="005F7AE7" w:rsidRPr="000479C4" w:rsidRDefault="005F7AE7" w:rsidP="00907499">
      <w:pPr>
        <w:pStyle w:val="NoSpacing"/>
      </w:pPr>
    </w:p>
    <w:p w14:paraId="3963025F" w14:textId="77777777" w:rsidR="00F5798E" w:rsidRDefault="00F5798E" w:rsidP="00905D12">
      <w:pPr>
        <w:pStyle w:val="Heading2"/>
        <w:sectPr w:rsidR="00F5798E" w:rsidSect="00F61407">
          <w:pgSz w:w="15840" w:h="12240" w:orient="landscape"/>
          <w:pgMar w:top="720" w:right="720" w:bottom="720" w:left="720" w:header="720" w:footer="720" w:gutter="0"/>
          <w:cols w:space="720"/>
          <w:docGrid w:linePitch="360"/>
        </w:sectPr>
      </w:pPr>
    </w:p>
    <w:p w14:paraId="64B1514C" w14:textId="77777777" w:rsidR="001B23C9" w:rsidRPr="000479C4" w:rsidRDefault="001B23C9" w:rsidP="001B23C9">
      <w:pPr>
        <w:pStyle w:val="Heading1"/>
      </w:pPr>
      <w:r w:rsidRPr="000479C4">
        <w:t>Results</w:t>
      </w:r>
    </w:p>
    <w:p w14:paraId="18C4CC5C" w14:textId="0D930268" w:rsidR="004E7E1E" w:rsidRDefault="001B23C9" w:rsidP="001B23C9">
      <w:pPr>
        <w:pStyle w:val="Heading2"/>
      </w:pPr>
      <w:r w:rsidRPr="000479C4">
        <w:t>Monitor Rollback</w:t>
      </w:r>
    </w:p>
    <w:p w14:paraId="51F5A2A1" w14:textId="77777777" w:rsidR="00E559D6" w:rsidRDefault="001B23C9" w:rsidP="00603B79">
      <w:r w:rsidRPr="001B23C9">
        <w:t xml:space="preserve">The majority of the reductions in ozone levels </w:t>
      </w:r>
      <w:r w:rsidR="00706070">
        <w:t xml:space="preserve">in 70 ppb rollbacks </w:t>
      </w:r>
      <w:r w:rsidRPr="001B23C9">
        <w:t>occurred in the I-95 corridor between Washington, DC and New York City, NY, with smaller reductions extending north to Boston, MA.</w:t>
      </w:r>
      <w:r w:rsidR="00706070">
        <w:t xml:space="preserve">  Western Pennsylvania also saw reductions in the 70 ppb rollback scenarios except in 2014.</w:t>
      </w:r>
      <w:r w:rsidRPr="001B23C9">
        <w:t xml:space="preserve">  </w:t>
      </w:r>
      <w:r w:rsidR="00706070">
        <w:t>North</w:t>
      </w:r>
      <w:r w:rsidR="00E559D6">
        <w:t>ern</w:t>
      </w:r>
      <w:r w:rsidR="00706070">
        <w:t xml:space="preserve"> New Hampshire also saw </w:t>
      </w:r>
      <w:r w:rsidR="00E559D6">
        <w:t xml:space="preserve">reductions in the 70 ppb rollback scenario only in 2015 and Central Pennsylvania saw reductions in 2015 and 2016.  </w:t>
      </w:r>
    </w:p>
    <w:p w14:paraId="794067BA" w14:textId="1409965B" w:rsidR="000750FE" w:rsidRDefault="000750FE" w:rsidP="00603B79">
      <w:r>
        <w:t xml:space="preserve">In the 65 ppb scenario the reductions were greater in the I-95 corridor and Western Pennsylvania, Eastern Pennsylvania, Central New York, and Northern New Hampshire saw reductions in all years.  Several years also saw reductions in coastal Maine. </w:t>
      </w:r>
    </w:p>
    <w:p w14:paraId="45CA6DC4" w14:textId="064B357C" w:rsidR="00E559D6" w:rsidRDefault="00706070" w:rsidP="00603B79">
      <w:r>
        <w:t>The entire region saw massive reductions in ozone levels in the 40 ppb rollback scenarios</w:t>
      </w:r>
      <w:r w:rsidR="00E559D6">
        <w:t xml:space="preserve"> including many rural areas in the region</w:t>
      </w:r>
      <w:r>
        <w:t xml:space="preserve">.  </w:t>
      </w:r>
    </w:p>
    <w:p w14:paraId="65E33019" w14:textId="607E7AB5" w:rsidR="001B23C9" w:rsidRDefault="001B23C9" w:rsidP="00603B79">
      <w:r w:rsidRPr="001B23C9">
        <w:t xml:space="preserve">Overview maps of the changes in average 8 hour maximum ozone concentrations in the OTR after being rolled back to 70 ppb in left most figures from </w:t>
      </w:r>
      <w:r w:rsidRPr="001B23C9">
        <w:fldChar w:fldCharType="begin"/>
      </w:r>
      <w:r w:rsidRPr="001B23C9">
        <w:instrText xml:space="preserve"> REF _Ref485801776 \h  \* MERGEFORMAT </w:instrText>
      </w:r>
      <w:r w:rsidRPr="001B23C9">
        <w:fldChar w:fldCharType="separate"/>
      </w:r>
      <w:r w:rsidRPr="001B23C9">
        <w:t>Figure 3</w:t>
      </w:r>
      <w:r w:rsidRPr="001B23C9">
        <w:fldChar w:fldCharType="end"/>
      </w:r>
      <w:r w:rsidRPr="001B23C9">
        <w:t xml:space="preserve"> through </w:t>
      </w:r>
      <w:r w:rsidRPr="001B23C9">
        <w:fldChar w:fldCharType="begin"/>
      </w:r>
      <w:r w:rsidRPr="001B23C9">
        <w:instrText xml:space="preserve"> REF _Ref492368592 \h  \* MERGEFORMAT </w:instrText>
      </w:r>
      <w:r w:rsidRPr="001B23C9">
        <w:fldChar w:fldCharType="separate"/>
      </w:r>
      <w:r w:rsidRPr="001B23C9">
        <w:t>Figure 14</w:t>
      </w:r>
      <w:r w:rsidRPr="001B23C9">
        <w:fldChar w:fldCharType="end"/>
      </w:r>
      <w:r w:rsidRPr="001B23C9">
        <w:t xml:space="preserve"> to 65 ppb in the center figures and to 40 ppb in the right most figures</w:t>
      </w:r>
      <w:r w:rsidRPr="000479C4">
        <w:fldChar w:fldCharType="begin"/>
      </w:r>
      <w:r w:rsidRPr="000479C4">
        <w:instrText xml:space="preserve"> REF _Ref319407996 \h  \* MERGEFORMAT </w:instrText>
      </w:r>
      <w:r w:rsidRPr="000479C4">
        <w:fldChar w:fldCharType="end"/>
      </w:r>
      <w:r w:rsidRPr="000479C4">
        <w:t>.</w:t>
      </w:r>
    </w:p>
    <w:p w14:paraId="0F5FABE5" w14:textId="57B90C11" w:rsidR="00907499" w:rsidRPr="000479C4" w:rsidRDefault="00907499" w:rsidP="001B23C9">
      <w:pPr>
        <w:pStyle w:val="Heading2"/>
      </w:pPr>
      <w:r w:rsidRPr="000479C4">
        <w:t>Health Impact</w:t>
      </w:r>
    </w:p>
    <w:p w14:paraId="645222FE" w14:textId="2C29DDB6" w:rsidR="00CE304A" w:rsidRDefault="00907499" w:rsidP="001C2012">
      <w:r w:rsidRPr="000479C4">
        <w:t>After processing the health impact functions, we found that had the entire OTR had 4</w:t>
      </w:r>
      <w:r w:rsidRPr="000479C4">
        <w:rPr>
          <w:vertAlign w:val="superscript"/>
        </w:rPr>
        <w:t>th</w:t>
      </w:r>
      <w:r w:rsidRPr="000479C4">
        <w:t xml:space="preserve"> highest monitor results at or under </w:t>
      </w:r>
      <w:r w:rsidR="001A4C39">
        <w:t>70 ppb</w:t>
      </w:r>
      <w:r w:rsidRPr="000479C4">
        <w:t xml:space="preserve"> it is expected that there would </w:t>
      </w:r>
      <w:r w:rsidR="00C327E5">
        <w:t xml:space="preserve">have been anywhere from </w:t>
      </w:r>
      <w:r w:rsidR="001C2012">
        <w:t>50 to 86</w:t>
      </w:r>
      <w:r w:rsidR="00503A4B">
        <w:t>0</w:t>
      </w:r>
      <w:r w:rsidRPr="000479C4">
        <w:t xml:space="preserve"> </w:t>
      </w:r>
      <w:r>
        <w:t>fewer short term</w:t>
      </w:r>
      <w:r w:rsidRPr="000479C4">
        <w:t xml:space="preserve"> mortalities due to ozone exposure.</w:t>
      </w:r>
      <w:r w:rsidR="001C2012">
        <w:t xml:space="preserve">  </w:t>
      </w:r>
      <w:r w:rsidRPr="000479C4">
        <w:t xml:space="preserve">  </w:t>
      </w:r>
      <w:r w:rsidR="001C2012">
        <w:t xml:space="preserve">A similar pattern of results happened for 65 and 40 ppb rollbacks, but with higher levels of reduced mortality.  Emergency room visit were not found to be significant different than 0.  The same pattern of results occurred for </w:t>
      </w:r>
      <w:r w:rsidR="00D95BF3">
        <w:t>the other health endpoints</w:t>
      </w:r>
      <w:r w:rsidR="001C2012">
        <w:t xml:space="preserve"> as mortality with the magnitude being </w:t>
      </w:r>
      <w:r w:rsidR="00D95BF3">
        <w:t xml:space="preserve">of hospital admissions being </w:t>
      </w:r>
      <w:r w:rsidR="001C2012">
        <w:t xml:space="preserve">about </w:t>
      </w:r>
      <w:r w:rsidR="00D95BF3">
        <w:t>half</w:t>
      </w:r>
      <w:r w:rsidR="001C2012">
        <w:t xml:space="preserve"> of the mortality incidence</w:t>
      </w:r>
      <w:r w:rsidR="00D95BF3">
        <w:t xml:space="preserve">, acute respiratory symptoms being roughly 2000 times, and school loss days being roughly 500 times.  </w:t>
      </w:r>
      <w:r w:rsidR="006F1055">
        <w:t xml:space="preserve">State level graphs showing the mean mortality for each year from 2013-2016 for having met 70 ppb, 65 ppb, and 40 ppb are in </w:t>
      </w:r>
      <w:r w:rsidR="006F1055">
        <w:fldChar w:fldCharType="begin"/>
      </w:r>
      <w:r w:rsidR="006F1055">
        <w:instrText xml:space="preserve"> REF _Ref492032288 \h </w:instrText>
      </w:r>
      <w:r w:rsidR="006F1055">
        <w:fldChar w:fldCharType="separate"/>
      </w:r>
      <w:r w:rsidR="006F1055">
        <w:t xml:space="preserve">Figure </w:t>
      </w:r>
      <w:r w:rsidR="006F1055">
        <w:rPr>
          <w:noProof/>
        </w:rPr>
        <w:t>14</w:t>
      </w:r>
      <w:r w:rsidR="006F1055">
        <w:fldChar w:fldCharType="end"/>
      </w:r>
      <w:r w:rsidR="006F1055">
        <w:t xml:space="preserve">, </w:t>
      </w:r>
      <w:r w:rsidR="006F1055">
        <w:fldChar w:fldCharType="begin"/>
      </w:r>
      <w:r w:rsidR="006F1055">
        <w:instrText xml:space="preserve"> REF _Ref492032289 \h </w:instrText>
      </w:r>
      <w:r w:rsidR="006F1055">
        <w:fldChar w:fldCharType="separate"/>
      </w:r>
      <w:r w:rsidR="006F1055">
        <w:t xml:space="preserve">Figure </w:t>
      </w:r>
      <w:r w:rsidR="006F1055">
        <w:rPr>
          <w:noProof/>
        </w:rPr>
        <w:t>15</w:t>
      </w:r>
      <w:r w:rsidR="006F1055">
        <w:fldChar w:fldCharType="end"/>
      </w:r>
      <w:r w:rsidR="006F1055">
        <w:t xml:space="preserve">, and </w:t>
      </w:r>
      <w:r w:rsidR="006F1055">
        <w:fldChar w:fldCharType="begin"/>
      </w:r>
      <w:r w:rsidR="006F1055">
        <w:instrText xml:space="preserve"> REF _Ref492032291 \h </w:instrText>
      </w:r>
      <w:r w:rsidR="006F1055">
        <w:fldChar w:fldCharType="separate"/>
      </w:r>
      <w:r w:rsidR="006F1055">
        <w:t xml:space="preserve">Figure </w:t>
      </w:r>
      <w:r w:rsidR="006F1055">
        <w:rPr>
          <w:noProof/>
        </w:rPr>
        <w:t>16</w:t>
      </w:r>
      <w:r w:rsidR="006F1055">
        <w:fldChar w:fldCharType="end"/>
      </w:r>
      <w:r w:rsidR="006F1055">
        <w:t xml:space="preserve">, respectively.  </w:t>
      </w:r>
      <w:r w:rsidRPr="000479C4">
        <w:t>A full listing of the</w:t>
      </w:r>
      <w:r w:rsidR="006F1055">
        <w:t xml:space="preserve"> reduced health incidence pooled for the OTR </w:t>
      </w:r>
      <w:r w:rsidR="0061612B">
        <w:t xml:space="preserve">is in </w:t>
      </w:r>
      <w:r w:rsidR="0061612B">
        <w:fldChar w:fldCharType="begin"/>
      </w:r>
      <w:r w:rsidR="0061612B">
        <w:instrText xml:space="preserve"> REF _Ref487447936 \h </w:instrText>
      </w:r>
      <w:r w:rsidR="0061612B">
        <w:fldChar w:fldCharType="separate"/>
      </w:r>
      <w:r w:rsidR="0061612B">
        <w:t xml:space="preserve">Table </w:t>
      </w:r>
      <w:r w:rsidR="0061612B">
        <w:rPr>
          <w:noProof/>
        </w:rPr>
        <w:t>3</w:t>
      </w:r>
      <w:r w:rsidR="0061612B">
        <w:fldChar w:fldCharType="end"/>
      </w:r>
      <w:r w:rsidRPr="000479C4">
        <w:t xml:space="preserve">. </w:t>
      </w:r>
    </w:p>
    <w:p w14:paraId="3571B99A" w14:textId="20962848" w:rsidR="006F1055" w:rsidRDefault="006F1055" w:rsidP="006F1055">
      <w:pPr>
        <w:pStyle w:val="Caption"/>
      </w:pPr>
      <w:bookmarkStart w:id="11" w:name="_Ref492032288"/>
      <w:r>
        <w:t xml:space="preserve">Figure </w:t>
      </w:r>
      <w:fldSimple w:instr=" SEQ Figure \* ARABIC ">
        <w:r w:rsidR="00741738">
          <w:rPr>
            <w:noProof/>
          </w:rPr>
          <w:t>19</w:t>
        </w:r>
      </w:fldSimple>
      <w:bookmarkEnd w:id="11"/>
      <w:r>
        <w:t>: State mortalities reduced from meeting the 70 ppb NAAQS from 2013-2016</w:t>
      </w:r>
    </w:p>
    <w:p w14:paraId="37BD3A6C" w14:textId="5F2E1A62" w:rsidR="005525A9" w:rsidRDefault="005525A9" w:rsidP="00880057">
      <w:r>
        <w:rPr>
          <w:noProof/>
        </w:rPr>
        <w:drawing>
          <wp:inline distT="0" distB="0" distL="0" distR="0" wp14:anchorId="06B6FD18" wp14:editId="293FD33C">
            <wp:extent cx="5943600" cy="25146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020F086" w14:textId="1CDFAAB6" w:rsidR="006F1055" w:rsidRDefault="006F1055" w:rsidP="006F1055">
      <w:pPr>
        <w:pStyle w:val="Caption"/>
      </w:pPr>
      <w:bookmarkStart w:id="12" w:name="_Ref492032289"/>
      <w:r>
        <w:t xml:space="preserve">Figure </w:t>
      </w:r>
      <w:fldSimple w:instr=" SEQ Figure \* ARABIC ">
        <w:r w:rsidR="00741738">
          <w:rPr>
            <w:noProof/>
          </w:rPr>
          <w:t>20</w:t>
        </w:r>
      </w:fldSimple>
      <w:bookmarkEnd w:id="12"/>
      <w:r w:rsidRPr="00030736">
        <w:t>: State mortalities reduced</w:t>
      </w:r>
      <w:r>
        <w:t xml:space="preserve"> from meeting the 65</w:t>
      </w:r>
      <w:r w:rsidRPr="00030736">
        <w:t xml:space="preserve"> ppb NAAQS from 2013-2016</w:t>
      </w:r>
    </w:p>
    <w:p w14:paraId="49DFC0F0" w14:textId="11D518F4" w:rsidR="006F1055" w:rsidRDefault="006F1055" w:rsidP="00880057">
      <w:r>
        <w:rPr>
          <w:noProof/>
        </w:rPr>
        <w:drawing>
          <wp:inline distT="0" distB="0" distL="0" distR="0" wp14:anchorId="372AF6A6" wp14:editId="1D441783">
            <wp:extent cx="5943600" cy="25146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0F5FF44" w14:textId="5F822049" w:rsidR="006F1055" w:rsidRDefault="006F1055" w:rsidP="006F1055">
      <w:pPr>
        <w:pStyle w:val="Caption"/>
      </w:pPr>
      <w:bookmarkStart w:id="13" w:name="_Ref492032291"/>
      <w:r>
        <w:t xml:space="preserve">Figure </w:t>
      </w:r>
      <w:fldSimple w:instr=" SEQ Figure \* ARABIC ">
        <w:r w:rsidR="00741738">
          <w:rPr>
            <w:noProof/>
          </w:rPr>
          <w:t>21</w:t>
        </w:r>
      </w:fldSimple>
      <w:bookmarkEnd w:id="13"/>
      <w:r w:rsidRPr="00486475">
        <w:t>: State mortali</w:t>
      </w:r>
      <w:r>
        <w:t>ties reduced from meeting the 40</w:t>
      </w:r>
      <w:r w:rsidRPr="00486475">
        <w:t xml:space="preserve"> ppb NAAQS from 2013-2016</w:t>
      </w:r>
    </w:p>
    <w:p w14:paraId="1F275D00" w14:textId="77777777" w:rsidR="006F1055" w:rsidRDefault="006F1055" w:rsidP="00880057">
      <w:r>
        <w:rPr>
          <w:noProof/>
        </w:rPr>
        <w:drawing>
          <wp:inline distT="0" distB="0" distL="0" distR="0" wp14:anchorId="49C1B226" wp14:editId="3700C76A">
            <wp:extent cx="5943600" cy="25146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1C3141E" w14:textId="77777777" w:rsidR="00CE304A" w:rsidRPr="00D90509" w:rsidRDefault="00CE304A" w:rsidP="001C2012">
      <w:pPr>
        <w:pStyle w:val="Heading2"/>
      </w:pPr>
      <w:r w:rsidRPr="00D90509">
        <w:t>Economic Impact</w:t>
      </w:r>
    </w:p>
    <w:p w14:paraId="43E7B41D" w14:textId="20471EB3" w:rsidR="00CE304A" w:rsidRDefault="00CE304A" w:rsidP="001C2012">
      <w:r>
        <w:t xml:space="preserve">Following analysis of the health impacts, economic impacts were estimated using the previously discussed techniques.  The value of the mortalities outweigh the other economic impacts considerably, though one should consider that some economic benefits such as reduced personal suffering may not have been monetized for morbidity due to the data, such as cost of illness estimates, used in developing the cost estimates. </w:t>
      </w:r>
      <w:r w:rsidR="0097041F">
        <w:t xml:space="preserve"> Again emergency room visits were not found to be significantly different from zero</w:t>
      </w:r>
      <w:r w:rsidR="00603B79">
        <w:t>, as were minor restricted activity days</w:t>
      </w:r>
      <w:r w:rsidR="0097041F">
        <w:t>.</w:t>
      </w:r>
      <w:r w:rsidR="00741738">
        <w:t xml:space="preserve">  Total economic benefits for the OTR, excluding emergency room visits</w:t>
      </w:r>
      <w:r w:rsidR="00603B79">
        <w:t xml:space="preserve"> and minor restricted activity days</w:t>
      </w:r>
      <w:r w:rsidR="00741738">
        <w:t xml:space="preserve">, are found for each year from 2013-2016 for having met 70 ppb, 65 ppb, and 40 ppb in </w:t>
      </w:r>
      <w:r w:rsidR="00741738">
        <w:fldChar w:fldCharType="begin"/>
      </w:r>
      <w:r w:rsidR="00741738">
        <w:instrText xml:space="preserve"> REF _Ref492388127 \h </w:instrText>
      </w:r>
      <w:r w:rsidR="00741738">
        <w:fldChar w:fldCharType="separate"/>
      </w:r>
      <w:r w:rsidR="00741738">
        <w:t xml:space="preserve">Figure </w:t>
      </w:r>
      <w:r w:rsidR="00741738">
        <w:rPr>
          <w:noProof/>
        </w:rPr>
        <w:t>22</w:t>
      </w:r>
      <w:r w:rsidR="00741738">
        <w:fldChar w:fldCharType="end"/>
      </w:r>
      <w:r w:rsidR="00741738">
        <w:t xml:space="preserve">, </w:t>
      </w:r>
      <w:r w:rsidR="00741738">
        <w:fldChar w:fldCharType="begin"/>
      </w:r>
      <w:r w:rsidR="00741738">
        <w:instrText xml:space="preserve"> REF _Ref492388128 \h </w:instrText>
      </w:r>
      <w:r w:rsidR="00741738">
        <w:fldChar w:fldCharType="separate"/>
      </w:r>
      <w:r w:rsidR="00741738">
        <w:t xml:space="preserve">Figure </w:t>
      </w:r>
      <w:r w:rsidR="00741738">
        <w:rPr>
          <w:noProof/>
        </w:rPr>
        <w:t>23</w:t>
      </w:r>
      <w:r w:rsidR="00741738">
        <w:fldChar w:fldCharType="end"/>
      </w:r>
      <w:r w:rsidR="00741738">
        <w:t xml:space="preserve">, and </w:t>
      </w:r>
      <w:r w:rsidR="00741738">
        <w:fldChar w:fldCharType="begin"/>
      </w:r>
      <w:r w:rsidR="00741738">
        <w:instrText xml:space="preserve"> REF _Ref492388129 \h </w:instrText>
      </w:r>
      <w:r w:rsidR="00741738">
        <w:fldChar w:fldCharType="separate"/>
      </w:r>
      <w:r w:rsidR="00741738">
        <w:t xml:space="preserve">Figure </w:t>
      </w:r>
      <w:r w:rsidR="00741738">
        <w:rPr>
          <w:noProof/>
        </w:rPr>
        <w:t>24</w:t>
      </w:r>
      <w:r w:rsidR="00741738">
        <w:fldChar w:fldCharType="end"/>
      </w:r>
      <w:r w:rsidR="00741738">
        <w:t>, respectively</w:t>
      </w:r>
      <w:r w:rsidR="00603B79">
        <w:t>.</w:t>
      </w:r>
      <w:r w:rsidR="00741738">
        <w:t xml:space="preserve"> </w:t>
      </w:r>
      <w:r>
        <w:t xml:space="preserve"> A full break down of the economic impacts is in</w:t>
      </w:r>
      <w:r w:rsidR="007E37C1">
        <w:t xml:space="preserve"> </w:t>
      </w:r>
      <w:r w:rsidR="007E37C1">
        <w:fldChar w:fldCharType="begin"/>
      </w:r>
      <w:r w:rsidR="007E37C1">
        <w:instrText xml:space="preserve"> REF _Ref487450304 \h </w:instrText>
      </w:r>
      <w:r w:rsidR="007E37C1">
        <w:fldChar w:fldCharType="separate"/>
      </w:r>
      <w:r w:rsidR="007E37C1">
        <w:t xml:space="preserve">Table </w:t>
      </w:r>
      <w:r w:rsidR="007E37C1">
        <w:rPr>
          <w:noProof/>
        </w:rPr>
        <w:t>4</w:t>
      </w:r>
      <w:r w:rsidR="007E37C1">
        <w:fldChar w:fldCharType="end"/>
      </w:r>
      <w:r>
        <w:t>.</w:t>
      </w:r>
    </w:p>
    <w:p w14:paraId="3D182DFD" w14:textId="018AC7F0" w:rsidR="00741738" w:rsidRDefault="00741738" w:rsidP="00741738">
      <w:pPr>
        <w:pStyle w:val="Caption"/>
      </w:pPr>
      <w:bookmarkStart w:id="14" w:name="_Ref492388127"/>
      <w:r>
        <w:t xml:space="preserve">Figure </w:t>
      </w:r>
      <w:fldSimple w:instr=" SEQ Figure \* ARABIC ">
        <w:r>
          <w:rPr>
            <w:noProof/>
          </w:rPr>
          <w:t>22</w:t>
        </w:r>
      </w:fldSimple>
      <w:bookmarkEnd w:id="14"/>
      <w:r>
        <w:t>: State economic benefits from meeting the 70 ppb NAAQS from 2013-2016</w:t>
      </w:r>
    </w:p>
    <w:p w14:paraId="6F710CE9" w14:textId="2A1E7E89" w:rsidR="00741738" w:rsidRDefault="00741738" w:rsidP="001C2012">
      <w:r>
        <w:rPr>
          <w:noProof/>
        </w:rPr>
        <w:drawing>
          <wp:inline distT="0" distB="0" distL="0" distR="0" wp14:anchorId="6EE919BF" wp14:editId="5DD9E59B">
            <wp:extent cx="5943600" cy="25146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97B1D06" w14:textId="6F6629AB" w:rsidR="00741738" w:rsidRDefault="00741738" w:rsidP="00741738">
      <w:pPr>
        <w:pStyle w:val="Caption"/>
      </w:pPr>
      <w:bookmarkStart w:id="15" w:name="_Ref492388128"/>
      <w:r>
        <w:t xml:space="preserve">Figure </w:t>
      </w:r>
      <w:fldSimple w:instr=" SEQ Figure \* ARABIC ">
        <w:r>
          <w:rPr>
            <w:noProof/>
          </w:rPr>
          <w:t>23</w:t>
        </w:r>
      </w:fldSimple>
      <w:bookmarkEnd w:id="15"/>
      <w:r w:rsidRPr="00F37BA0">
        <w:t xml:space="preserve">: State economic benefits from meeting the </w:t>
      </w:r>
      <w:r>
        <w:t>65</w:t>
      </w:r>
      <w:r w:rsidRPr="00F37BA0">
        <w:t xml:space="preserve"> ppb NAAQS from 2013-2016</w:t>
      </w:r>
    </w:p>
    <w:p w14:paraId="56D4E4BE" w14:textId="0F8DD004" w:rsidR="00741738" w:rsidRDefault="00741738" w:rsidP="001C2012">
      <w:r>
        <w:rPr>
          <w:noProof/>
        </w:rPr>
        <w:drawing>
          <wp:inline distT="0" distB="0" distL="0" distR="0" wp14:anchorId="4E71E2FF" wp14:editId="32DEBCF0">
            <wp:extent cx="5943600" cy="25146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4BDA6F6" w14:textId="077ED7C6" w:rsidR="00741738" w:rsidRDefault="00741738" w:rsidP="00741738">
      <w:pPr>
        <w:pStyle w:val="Caption"/>
      </w:pPr>
      <w:bookmarkStart w:id="16" w:name="_Ref492388129"/>
      <w:r>
        <w:t xml:space="preserve">Figure </w:t>
      </w:r>
      <w:fldSimple w:instr=" SEQ Figure \* ARABIC ">
        <w:r>
          <w:rPr>
            <w:noProof/>
          </w:rPr>
          <w:t>24</w:t>
        </w:r>
      </w:fldSimple>
      <w:bookmarkEnd w:id="16"/>
      <w:r w:rsidRPr="00B60740">
        <w:t xml:space="preserve">: State economic benefits from meeting the </w:t>
      </w:r>
      <w:r>
        <w:t>40</w:t>
      </w:r>
      <w:r w:rsidRPr="00B60740">
        <w:t xml:space="preserve"> ppb NAAQS from 2013-2016</w:t>
      </w:r>
    </w:p>
    <w:p w14:paraId="2C098D99" w14:textId="4537CADA" w:rsidR="00741738" w:rsidRDefault="00741738" w:rsidP="001C2012">
      <w:pPr>
        <w:sectPr w:rsidR="00741738" w:rsidSect="00873B6C">
          <w:pgSz w:w="12240" w:h="15840"/>
          <w:pgMar w:top="1440" w:right="1440" w:bottom="1440" w:left="1440" w:header="720" w:footer="720" w:gutter="0"/>
          <w:cols w:space="720"/>
          <w:docGrid w:linePitch="360"/>
        </w:sectPr>
      </w:pPr>
      <w:r>
        <w:rPr>
          <w:noProof/>
        </w:rPr>
        <w:drawing>
          <wp:inline distT="0" distB="0" distL="0" distR="0" wp14:anchorId="086DF13A" wp14:editId="6D7951AD">
            <wp:extent cx="5943600" cy="25146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CEFB28E" w14:textId="69C30990" w:rsidR="00CE304A" w:rsidRDefault="00CE304A" w:rsidP="001C2012">
      <w:pPr>
        <w:pStyle w:val="Caption"/>
      </w:pPr>
      <w:bookmarkStart w:id="17" w:name="_Ref487447936"/>
      <w:r>
        <w:t xml:space="preserve">Table </w:t>
      </w:r>
      <w:fldSimple w:instr=" SEQ Table \* ARABIC ">
        <w:r w:rsidR="008E6BFD">
          <w:rPr>
            <w:noProof/>
          </w:rPr>
          <w:t>3</w:t>
        </w:r>
      </w:fldSimple>
      <w:bookmarkEnd w:id="17"/>
      <w:r>
        <w:t>:</w:t>
      </w:r>
      <w:r w:rsidR="0061612B" w:rsidRPr="0061612B">
        <w:t xml:space="preserve"> </w:t>
      </w:r>
      <w:r w:rsidR="0061612B" w:rsidRPr="000479C4">
        <w:t>Estimated Ozone-Related Health Impacts Following Monitor Rollback</w:t>
      </w:r>
      <w:r w:rsidR="0061612B" w:rsidRPr="000479C4">
        <w:rPr>
          <w:noProof/>
        </w:rPr>
        <w:t xml:space="preserve"> to </w:t>
      </w:r>
      <w:r w:rsidR="0061612B">
        <w:rPr>
          <w:noProof/>
        </w:rPr>
        <w:t>70, 65, and 40 ppb for 2013-2016 in the OTR</w:t>
      </w:r>
    </w:p>
    <w:tbl>
      <w:tblPr>
        <w:tblStyle w:val="PlainTable31"/>
        <w:tblW w:w="12659" w:type="dxa"/>
        <w:tblLayout w:type="fixed"/>
        <w:tblLook w:val="04A0" w:firstRow="1" w:lastRow="0" w:firstColumn="1" w:lastColumn="0" w:noHBand="0" w:noVBand="1"/>
      </w:tblPr>
      <w:tblGrid>
        <w:gridCol w:w="621"/>
        <w:gridCol w:w="681"/>
        <w:gridCol w:w="716"/>
        <w:gridCol w:w="660"/>
        <w:gridCol w:w="681"/>
        <w:gridCol w:w="588"/>
        <w:gridCol w:w="632"/>
        <w:gridCol w:w="664"/>
        <w:gridCol w:w="556"/>
        <w:gridCol w:w="771"/>
        <w:gridCol w:w="1035"/>
        <w:gridCol w:w="1035"/>
        <w:gridCol w:w="1051"/>
        <w:gridCol w:w="1035"/>
        <w:gridCol w:w="898"/>
        <w:gridCol w:w="1035"/>
      </w:tblGrid>
      <w:tr w:rsidR="00294FDD" w:rsidRPr="00CE304A" w14:paraId="76BAA385" w14:textId="77777777" w:rsidTr="001C2012">
        <w:trPr>
          <w:cnfStyle w:val="100000000000" w:firstRow="1" w:lastRow="0" w:firstColumn="0" w:lastColumn="0" w:oddVBand="0" w:evenVBand="0" w:oddHBand="0" w:evenHBand="0" w:firstRowFirstColumn="0" w:firstRowLastColumn="0" w:lastRowFirstColumn="0" w:lastRowLastColumn="0"/>
          <w:trHeight w:val="207"/>
        </w:trPr>
        <w:tc>
          <w:tcPr>
            <w:cnfStyle w:val="001000000100" w:firstRow="0" w:lastRow="0" w:firstColumn="1" w:lastColumn="0" w:oddVBand="0" w:evenVBand="0" w:oddHBand="0" w:evenHBand="0" w:firstRowFirstColumn="1" w:firstRowLastColumn="0" w:lastRowFirstColumn="0" w:lastRowLastColumn="0"/>
            <w:tcW w:w="621" w:type="dxa"/>
            <w:vMerge w:val="restart"/>
            <w:noWrap/>
            <w:hideMark/>
          </w:tcPr>
          <w:p w14:paraId="02A1CB21" w14:textId="77777777" w:rsidR="00294FDD" w:rsidRPr="001C2012" w:rsidRDefault="00294FDD" w:rsidP="001C2012">
            <w:pPr>
              <w:rPr>
                <w:caps w:val="0"/>
                <w:sz w:val="18"/>
                <w:szCs w:val="18"/>
              </w:rPr>
            </w:pPr>
          </w:p>
        </w:tc>
        <w:tc>
          <w:tcPr>
            <w:tcW w:w="2057" w:type="dxa"/>
            <w:gridSpan w:val="3"/>
            <w:hideMark/>
          </w:tcPr>
          <w:p w14:paraId="13FA66CA" w14:textId="77777777" w:rsidR="00294FDD" w:rsidRPr="001C2012" w:rsidRDefault="00294FDD" w:rsidP="001C2012">
            <w:pPr>
              <w:pStyle w:val="NoSpacing1"/>
              <w:cnfStyle w:val="100000000000" w:firstRow="1" w:lastRow="0" w:firstColumn="0" w:lastColumn="0" w:oddVBand="0" w:evenVBand="0" w:oddHBand="0" w:evenHBand="0" w:firstRowFirstColumn="0" w:firstRowLastColumn="0" w:lastRowFirstColumn="0" w:lastRowLastColumn="0"/>
              <w:rPr>
                <w:caps w:val="0"/>
                <w:sz w:val="18"/>
              </w:rPr>
            </w:pPr>
            <w:r w:rsidRPr="001C2012">
              <w:rPr>
                <w:caps w:val="0"/>
                <w:sz w:val="18"/>
              </w:rPr>
              <w:t>Mortality, All Causes</w:t>
            </w:r>
            <w:r w:rsidRPr="001C2012">
              <w:rPr>
                <w:rStyle w:val="FootnoteReference"/>
                <w:rFonts w:eastAsia="Times New Roman"/>
                <w:caps w:val="0"/>
                <w:color w:val="000000"/>
                <w:sz w:val="18"/>
                <w:szCs w:val="18"/>
              </w:rPr>
              <w:footnoteReference w:id="6"/>
            </w:r>
          </w:p>
        </w:tc>
        <w:tc>
          <w:tcPr>
            <w:tcW w:w="1901" w:type="dxa"/>
            <w:gridSpan w:val="3"/>
            <w:hideMark/>
          </w:tcPr>
          <w:p w14:paraId="084616E6" w14:textId="77777777" w:rsidR="00294FDD" w:rsidRPr="001C2012" w:rsidRDefault="00294FDD" w:rsidP="001C2012">
            <w:pPr>
              <w:pStyle w:val="NoSpacing1"/>
              <w:cnfStyle w:val="100000000000" w:firstRow="1" w:lastRow="0" w:firstColumn="0" w:lastColumn="0" w:oddVBand="0" w:evenVBand="0" w:oddHBand="0" w:evenHBand="0" w:firstRowFirstColumn="0" w:firstRowLastColumn="0" w:lastRowFirstColumn="0" w:lastRowLastColumn="0"/>
              <w:rPr>
                <w:caps w:val="0"/>
                <w:sz w:val="18"/>
              </w:rPr>
            </w:pPr>
            <w:r w:rsidRPr="001C2012">
              <w:rPr>
                <w:caps w:val="0"/>
                <w:sz w:val="18"/>
              </w:rPr>
              <w:t>Emergency Room Visits Respiratory</w:t>
            </w:r>
            <w:r w:rsidRPr="001C2012">
              <w:rPr>
                <w:rStyle w:val="FootnoteReference"/>
                <w:rFonts w:eastAsia="Times New Roman"/>
                <w:caps w:val="0"/>
                <w:color w:val="000000"/>
                <w:sz w:val="18"/>
                <w:szCs w:val="18"/>
              </w:rPr>
              <w:footnoteReference w:id="7"/>
            </w:r>
            <w:r w:rsidRPr="001C2012">
              <w:rPr>
                <w:rStyle w:val="FootnoteReference"/>
                <w:rFonts w:eastAsia="Times New Roman"/>
                <w:caps w:val="0"/>
                <w:color w:val="000000"/>
                <w:sz w:val="18"/>
                <w:szCs w:val="18"/>
              </w:rPr>
              <w:footnoteReference w:id="8"/>
            </w:r>
          </w:p>
        </w:tc>
        <w:tc>
          <w:tcPr>
            <w:tcW w:w="1991" w:type="dxa"/>
            <w:gridSpan w:val="3"/>
            <w:hideMark/>
          </w:tcPr>
          <w:p w14:paraId="03E932ED" w14:textId="77777777" w:rsidR="00294FDD" w:rsidRPr="001C2012" w:rsidRDefault="00294FDD" w:rsidP="001C2012">
            <w:pPr>
              <w:pStyle w:val="NoSpacing1"/>
              <w:cnfStyle w:val="100000000000" w:firstRow="1" w:lastRow="0" w:firstColumn="0" w:lastColumn="0" w:oddVBand="0" w:evenVBand="0" w:oddHBand="0" w:evenHBand="0" w:firstRowFirstColumn="0" w:firstRowLastColumn="0" w:lastRowFirstColumn="0" w:lastRowLastColumn="0"/>
              <w:rPr>
                <w:caps w:val="0"/>
                <w:sz w:val="18"/>
              </w:rPr>
            </w:pPr>
            <w:r w:rsidRPr="001C2012">
              <w:rPr>
                <w:caps w:val="0"/>
                <w:sz w:val="18"/>
              </w:rPr>
              <w:t>Hospital Admissions  Respiratory</w:t>
            </w:r>
            <w:r w:rsidRPr="001C2012">
              <w:rPr>
                <w:rStyle w:val="FootnoteReference"/>
                <w:rFonts w:eastAsia="Times New Roman"/>
                <w:caps w:val="0"/>
                <w:color w:val="000000"/>
                <w:sz w:val="18"/>
                <w:szCs w:val="18"/>
              </w:rPr>
              <w:footnoteReference w:id="9"/>
            </w:r>
            <w:r w:rsidRPr="001C2012">
              <w:rPr>
                <w:rStyle w:val="FootnoteReference"/>
                <w:rFonts w:eastAsia="Times New Roman"/>
                <w:caps w:val="0"/>
                <w:color w:val="000000"/>
                <w:sz w:val="18"/>
                <w:szCs w:val="18"/>
              </w:rPr>
              <w:footnoteReference w:id="10"/>
            </w:r>
            <w:r w:rsidRPr="001C2012">
              <w:rPr>
                <w:rStyle w:val="FootnoteReference"/>
                <w:rFonts w:eastAsia="Times New Roman"/>
                <w:caps w:val="0"/>
                <w:color w:val="000000"/>
                <w:sz w:val="18"/>
                <w:szCs w:val="18"/>
              </w:rPr>
              <w:footnoteReference w:id="11"/>
            </w:r>
            <w:r w:rsidRPr="001C2012">
              <w:rPr>
                <w:rStyle w:val="FootnoteReference"/>
                <w:rFonts w:eastAsia="Times New Roman"/>
                <w:caps w:val="0"/>
                <w:color w:val="000000"/>
                <w:sz w:val="18"/>
                <w:szCs w:val="18"/>
              </w:rPr>
              <w:footnoteReference w:id="12"/>
            </w:r>
            <w:r w:rsidRPr="001C2012">
              <w:rPr>
                <w:rStyle w:val="FootnoteReference"/>
                <w:rFonts w:eastAsia="Times New Roman"/>
                <w:caps w:val="0"/>
                <w:color w:val="000000"/>
                <w:sz w:val="18"/>
                <w:szCs w:val="18"/>
              </w:rPr>
              <w:footnoteReference w:id="13"/>
            </w:r>
          </w:p>
        </w:tc>
        <w:tc>
          <w:tcPr>
            <w:tcW w:w="3121" w:type="dxa"/>
            <w:gridSpan w:val="3"/>
            <w:hideMark/>
          </w:tcPr>
          <w:p w14:paraId="24535882" w14:textId="77777777" w:rsidR="00294FDD" w:rsidRPr="001C2012" w:rsidRDefault="00294FDD" w:rsidP="001C2012">
            <w:pPr>
              <w:pStyle w:val="NoSpacing1"/>
              <w:cnfStyle w:val="100000000000" w:firstRow="1" w:lastRow="0" w:firstColumn="0" w:lastColumn="0" w:oddVBand="0" w:evenVBand="0" w:oddHBand="0" w:evenHBand="0" w:firstRowFirstColumn="0" w:firstRowLastColumn="0" w:lastRowFirstColumn="0" w:lastRowLastColumn="0"/>
              <w:rPr>
                <w:caps w:val="0"/>
                <w:sz w:val="18"/>
              </w:rPr>
            </w:pPr>
            <w:r w:rsidRPr="001C2012">
              <w:rPr>
                <w:caps w:val="0"/>
                <w:sz w:val="18"/>
              </w:rPr>
              <w:t>Acute Respiratory Symptoms</w:t>
            </w:r>
            <w:r w:rsidRPr="001C2012">
              <w:rPr>
                <w:rStyle w:val="FootnoteReference"/>
                <w:rFonts w:eastAsia="Times New Roman"/>
                <w:caps w:val="0"/>
                <w:color w:val="000000"/>
                <w:sz w:val="18"/>
                <w:szCs w:val="18"/>
              </w:rPr>
              <w:footnoteReference w:id="14"/>
            </w:r>
          </w:p>
        </w:tc>
        <w:tc>
          <w:tcPr>
            <w:tcW w:w="2968" w:type="dxa"/>
            <w:gridSpan w:val="3"/>
            <w:hideMark/>
          </w:tcPr>
          <w:p w14:paraId="2C7745B9" w14:textId="77777777" w:rsidR="00294FDD" w:rsidRPr="001C2012" w:rsidRDefault="00294FDD" w:rsidP="001C2012">
            <w:pPr>
              <w:pStyle w:val="NoSpacing1"/>
              <w:cnfStyle w:val="100000000000" w:firstRow="1" w:lastRow="0" w:firstColumn="0" w:lastColumn="0" w:oddVBand="0" w:evenVBand="0" w:oddHBand="0" w:evenHBand="0" w:firstRowFirstColumn="0" w:firstRowLastColumn="0" w:lastRowFirstColumn="0" w:lastRowLastColumn="0"/>
              <w:rPr>
                <w:caps w:val="0"/>
                <w:sz w:val="18"/>
              </w:rPr>
            </w:pPr>
            <w:r w:rsidRPr="001C2012">
              <w:rPr>
                <w:caps w:val="0"/>
                <w:sz w:val="18"/>
              </w:rPr>
              <w:t>School Loss Days</w:t>
            </w:r>
            <w:r w:rsidRPr="001C2012">
              <w:rPr>
                <w:rStyle w:val="FootnoteReference"/>
                <w:rFonts w:eastAsia="Times New Roman"/>
                <w:caps w:val="0"/>
                <w:color w:val="000000"/>
                <w:sz w:val="18"/>
                <w:szCs w:val="18"/>
              </w:rPr>
              <w:footnoteReference w:id="15"/>
            </w:r>
            <w:r w:rsidRPr="001C2012">
              <w:rPr>
                <w:rStyle w:val="FootnoteReference"/>
                <w:rFonts w:eastAsia="Times New Roman"/>
                <w:caps w:val="0"/>
                <w:color w:val="000000"/>
                <w:sz w:val="18"/>
                <w:szCs w:val="18"/>
              </w:rPr>
              <w:footnoteReference w:id="16"/>
            </w:r>
          </w:p>
        </w:tc>
      </w:tr>
      <w:tr w:rsidR="00294FDD" w:rsidRPr="00CE304A" w14:paraId="4393F4C8" w14:textId="77777777" w:rsidTr="001C2012">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621" w:type="dxa"/>
            <w:vMerge/>
            <w:noWrap/>
            <w:hideMark/>
          </w:tcPr>
          <w:p w14:paraId="712012EF" w14:textId="77777777" w:rsidR="00294FDD" w:rsidRPr="001C2012" w:rsidRDefault="00294FDD" w:rsidP="001C2012">
            <w:pPr>
              <w:rPr>
                <w:sz w:val="18"/>
                <w:szCs w:val="18"/>
              </w:rPr>
            </w:pPr>
          </w:p>
        </w:tc>
        <w:tc>
          <w:tcPr>
            <w:tcW w:w="681" w:type="dxa"/>
            <w:noWrap/>
            <w:hideMark/>
          </w:tcPr>
          <w:p w14:paraId="76835122" w14:textId="77777777" w:rsidR="00294FDD" w:rsidRPr="001C2012" w:rsidRDefault="00294FDD" w:rsidP="001C2012">
            <w:pPr>
              <w:pStyle w:val="NoSpacing1"/>
              <w:cnfStyle w:val="000000100000" w:firstRow="0" w:lastRow="0" w:firstColumn="0" w:lastColumn="0" w:oddVBand="0" w:evenVBand="0" w:oddHBand="1" w:evenHBand="0" w:firstRowFirstColumn="0" w:firstRowLastColumn="0" w:lastRowFirstColumn="0" w:lastRowLastColumn="0"/>
              <w:rPr>
                <w:sz w:val="18"/>
              </w:rPr>
            </w:pPr>
            <w:r w:rsidRPr="001C2012">
              <w:rPr>
                <w:sz w:val="18"/>
              </w:rPr>
              <w:t>Mean</w:t>
            </w:r>
          </w:p>
        </w:tc>
        <w:tc>
          <w:tcPr>
            <w:tcW w:w="716" w:type="dxa"/>
            <w:noWrap/>
            <w:hideMark/>
          </w:tcPr>
          <w:p w14:paraId="26CC7E5D" w14:textId="77777777" w:rsidR="00294FDD" w:rsidRPr="001C2012" w:rsidRDefault="00294FDD" w:rsidP="001C2012">
            <w:pPr>
              <w:pStyle w:val="NoSpacing1"/>
              <w:cnfStyle w:val="000000100000" w:firstRow="0" w:lastRow="0" w:firstColumn="0" w:lastColumn="0" w:oddVBand="0" w:evenVBand="0" w:oddHBand="1" w:evenHBand="0" w:firstRowFirstColumn="0" w:firstRowLastColumn="0" w:lastRowFirstColumn="0" w:lastRowLastColumn="0"/>
              <w:rPr>
                <w:sz w:val="18"/>
              </w:rPr>
            </w:pPr>
            <w:r w:rsidRPr="001C2012">
              <w:rPr>
                <w:sz w:val="18"/>
              </w:rPr>
              <w:t>-2σ</w:t>
            </w:r>
          </w:p>
        </w:tc>
        <w:tc>
          <w:tcPr>
            <w:tcW w:w="660" w:type="dxa"/>
            <w:noWrap/>
            <w:hideMark/>
          </w:tcPr>
          <w:p w14:paraId="0E1876C0" w14:textId="77777777" w:rsidR="00294FDD" w:rsidRPr="001C2012" w:rsidRDefault="00294FDD" w:rsidP="001C2012">
            <w:pPr>
              <w:pStyle w:val="NoSpacing1"/>
              <w:cnfStyle w:val="000000100000" w:firstRow="0" w:lastRow="0" w:firstColumn="0" w:lastColumn="0" w:oddVBand="0" w:evenVBand="0" w:oddHBand="1" w:evenHBand="0" w:firstRowFirstColumn="0" w:firstRowLastColumn="0" w:lastRowFirstColumn="0" w:lastRowLastColumn="0"/>
              <w:rPr>
                <w:sz w:val="18"/>
              </w:rPr>
            </w:pPr>
            <w:r w:rsidRPr="001C2012">
              <w:rPr>
                <w:sz w:val="18"/>
              </w:rPr>
              <w:t>2σ</w:t>
            </w:r>
          </w:p>
        </w:tc>
        <w:tc>
          <w:tcPr>
            <w:tcW w:w="681" w:type="dxa"/>
            <w:noWrap/>
            <w:hideMark/>
          </w:tcPr>
          <w:p w14:paraId="5B9069BB" w14:textId="77777777" w:rsidR="00294FDD" w:rsidRPr="001C2012" w:rsidRDefault="00294FDD" w:rsidP="001C2012">
            <w:pPr>
              <w:pStyle w:val="NoSpacing1"/>
              <w:cnfStyle w:val="000000100000" w:firstRow="0" w:lastRow="0" w:firstColumn="0" w:lastColumn="0" w:oddVBand="0" w:evenVBand="0" w:oddHBand="1" w:evenHBand="0" w:firstRowFirstColumn="0" w:firstRowLastColumn="0" w:lastRowFirstColumn="0" w:lastRowLastColumn="0"/>
              <w:rPr>
                <w:sz w:val="18"/>
              </w:rPr>
            </w:pPr>
            <w:r w:rsidRPr="001C2012">
              <w:rPr>
                <w:sz w:val="18"/>
              </w:rPr>
              <w:t>Mean</w:t>
            </w:r>
          </w:p>
        </w:tc>
        <w:tc>
          <w:tcPr>
            <w:tcW w:w="588" w:type="dxa"/>
            <w:noWrap/>
            <w:hideMark/>
          </w:tcPr>
          <w:p w14:paraId="4E351DCC" w14:textId="77777777" w:rsidR="00294FDD" w:rsidRPr="001C2012" w:rsidRDefault="00294FDD" w:rsidP="001C2012">
            <w:pPr>
              <w:pStyle w:val="NoSpacing1"/>
              <w:cnfStyle w:val="000000100000" w:firstRow="0" w:lastRow="0" w:firstColumn="0" w:lastColumn="0" w:oddVBand="0" w:evenVBand="0" w:oddHBand="1" w:evenHBand="0" w:firstRowFirstColumn="0" w:firstRowLastColumn="0" w:lastRowFirstColumn="0" w:lastRowLastColumn="0"/>
              <w:rPr>
                <w:sz w:val="18"/>
              </w:rPr>
            </w:pPr>
            <w:r w:rsidRPr="001C2012">
              <w:rPr>
                <w:sz w:val="18"/>
              </w:rPr>
              <w:t>-2σ</w:t>
            </w:r>
          </w:p>
        </w:tc>
        <w:tc>
          <w:tcPr>
            <w:tcW w:w="632" w:type="dxa"/>
            <w:noWrap/>
            <w:hideMark/>
          </w:tcPr>
          <w:p w14:paraId="66C50668" w14:textId="77777777" w:rsidR="00294FDD" w:rsidRPr="001C2012" w:rsidRDefault="00294FDD" w:rsidP="001C2012">
            <w:pPr>
              <w:pStyle w:val="NoSpacing1"/>
              <w:cnfStyle w:val="000000100000" w:firstRow="0" w:lastRow="0" w:firstColumn="0" w:lastColumn="0" w:oddVBand="0" w:evenVBand="0" w:oddHBand="1" w:evenHBand="0" w:firstRowFirstColumn="0" w:firstRowLastColumn="0" w:lastRowFirstColumn="0" w:lastRowLastColumn="0"/>
              <w:rPr>
                <w:sz w:val="18"/>
              </w:rPr>
            </w:pPr>
            <w:r w:rsidRPr="001C2012">
              <w:rPr>
                <w:sz w:val="18"/>
              </w:rPr>
              <w:t>2σ</w:t>
            </w:r>
          </w:p>
        </w:tc>
        <w:tc>
          <w:tcPr>
            <w:tcW w:w="664" w:type="dxa"/>
            <w:noWrap/>
            <w:hideMark/>
          </w:tcPr>
          <w:p w14:paraId="2F93A1D1" w14:textId="77777777" w:rsidR="00294FDD" w:rsidRPr="001C2012" w:rsidRDefault="00294FDD" w:rsidP="001C2012">
            <w:pPr>
              <w:pStyle w:val="NoSpacing1"/>
              <w:cnfStyle w:val="000000100000" w:firstRow="0" w:lastRow="0" w:firstColumn="0" w:lastColumn="0" w:oddVBand="0" w:evenVBand="0" w:oddHBand="1" w:evenHBand="0" w:firstRowFirstColumn="0" w:firstRowLastColumn="0" w:lastRowFirstColumn="0" w:lastRowLastColumn="0"/>
              <w:rPr>
                <w:sz w:val="18"/>
              </w:rPr>
            </w:pPr>
            <w:r w:rsidRPr="001C2012">
              <w:rPr>
                <w:sz w:val="18"/>
              </w:rPr>
              <w:t>Mean</w:t>
            </w:r>
          </w:p>
        </w:tc>
        <w:tc>
          <w:tcPr>
            <w:tcW w:w="556" w:type="dxa"/>
            <w:noWrap/>
            <w:hideMark/>
          </w:tcPr>
          <w:p w14:paraId="4DB3A731" w14:textId="77777777" w:rsidR="00294FDD" w:rsidRPr="001C2012" w:rsidRDefault="00294FDD" w:rsidP="001C2012">
            <w:pPr>
              <w:pStyle w:val="NoSpacing1"/>
              <w:cnfStyle w:val="000000100000" w:firstRow="0" w:lastRow="0" w:firstColumn="0" w:lastColumn="0" w:oddVBand="0" w:evenVBand="0" w:oddHBand="1" w:evenHBand="0" w:firstRowFirstColumn="0" w:firstRowLastColumn="0" w:lastRowFirstColumn="0" w:lastRowLastColumn="0"/>
              <w:rPr>
                <w:sz w:val="18"/>
              </w:rPr>
            </w:pPr>
            <w:r w:rsidRPr="001C2012">
              <w:rPr>
                <w:sz w:val="18"/>
              </w:rPr>
              <w:t>-2σ</w:t>
            </w:r>
          </w:p>
        </w:tc>
        <w:tc>
          <w:tcPr>
            <w:tcW w:w="771" w:type="dxa"/>
            <w:noWrap/>
            <w:hideMark/>
          </w:tcPr>
          <w:p w14:paraId="0021DB98" w14:textId="77777777" w:rsidR="00294FDD" w:rsidRPr="001C2012" w:rsidRDefault="00294FDD" w:rsidP="001C2012">
            <w:pPr>
              <w:pStyle w:val="NoSpacing1"/>
              <w:cnfStyle w:val="000000100000" w:firstRow="0" w:lastRow="0" w:firstColumn="0" w:lastColumn="0" w:oddVBand="0" w:evenVBand="0" w:oddHBand="1" w:evenHBand="0" w:firstRowFirstColumn="0" w:firstRowLastColumn="0" w:lastRowFirstColumn="0" w:lastRowLastColumn="0"/>
              <w:rPr>
                <w:sz w:val="18"/>
              </w:rPr>
            </w:pPr>
            <w:r w:rsidRPr="001C2012">
              <w:rPr>
                <w:sz w:val="18"/>
              </w:rPr>
              <w:t>2σ</w:t>
            </w:r>
          </w:p>
        </w:tc>
        <w:tc>
          <w:tcPr>
            <w:tcW w:w="1035" w:type="dxa"/>
            <w:noWrap/>
            <w:hideMark/>
          </w:tcPr>
          <w:p w14:paraId="2DF21310" w14:textId="77777777" w:rsidR="00294FDD" w:rsidRPr="001C2012" w:rsidRDefault="00294FDD" w:rsidP="001C2012">
            <w:pPr>
              <w:pStyle w:val="NoSpacing1"/>
              <w:cnfStyle w:val="000000100000" w:firstRow="0" w:lastRow="0" w:firstColumn="0" w:lastColumn="0" w:oddVBand="0" w:evenVBand="0" w:oddHBand="1" w:evenHBand="0" w:firstRowFirstColumn="0" w:firstRowLastColumn="0" w:lastRowFirstColumn="0" w:lastRowLastColumn="0"/>
              <w:rPr>
                <w:sz w:val="18"/>
              </w:rPr>
            </w:pPr>
            <w:r w:rsidRPr="001C2012">
              <w:rPr>
                <w:sz w:val="18"/>
              </w:rPr>
              <w:t>Mean</w:t>
            </w:r>
          </w:p>
        </w:tc>
        <w:tc>
          <w:tcPr>
            <w:tcW w:w="1035" w:type="dxa"/>
            <w:noWrap/>
            <w:hideMark/>
          </w:tcPr>
          <w:p w14:paraId="3AD2132C" w14:textId="77777777" w:rsidR="00294FDD" w:rsidRPr="001C2012" w:rsidRDefault="00294FDD" w:rsidP="001C2012">
            <w:pPr>
              <w:pStyle w:val="NoSpacing1"/>
              <w:cnfStyle w:val="000000100000" w:firstRow="0" w:lastRow="0" w:firstColumn="0" w:lastColumn="0" w:oddVBand="0" w:evenVBand="0" w:oddHBand="1" w:evenHBand="0" w:firstRowFirstColumn="0" w:firstRowLastColumn="0" w:lastRowFirstColumn="0" w:lastRowLastColumn="0"/>
              <w:rPr>
                <w:sz w:val="18"/>
              </w:rPr>
            </w:pPr>
            <w:r w:rsidRPr="001C2012">
              <w:rPr>
                <w:sz w:val="18"/>
              </w:rPr>
              <w:t>-2σ</w:t>
            </w:r>
          </w:p>
        </w:tc>
        <w:tc>
          <w:tcPr>
            <w:tcW w:w="1051" w:type="dxa"/>
            <w:noWrap/>
            <w:hideMark/>
          </w:tcPr>
          <w:p w14:paraId="2836565A" w14:textId="77777777" w:rsidR="00294FDD" w:rsidRPr="001C2012" w:rsidRDefault="00294FDD" w:rsidP="001C2012">
            <w:pPr>
              <w:pStyle w:val="NoSpacing1"/>
              <w:cnfStyle w:val="000000100000" w:firstRow="0" w:lastRow="0" w:firstColumn="0" w:lastColumn="0" w:oddVBand="0" w:evenVBand="0" w:oddHBand="1" w:evenHBand="0" w:firstRowFirstColumn="0" w:firstRowLastColumn="0" w:lastRowFirstColumn="0" w:lastRowLastColumn="0"/>
              <w:rPr>
                <w:sz w:val="18"/>
              </w:rPr>
            </w:pPr>
            <w:r w:rsidRPr="001C2012">
              <w:rPr>
                <w:sz w:val="18"/>
              </w:rPr>
              <w:t>2σ</w:t>
            </w:r>
          </w:p>
        </w:tc>
        <w:tc>
          <w:tcPr>
            <w:tcW w:w="1035" w:type="dxa"/>
            <w:noWrap/>
            <w:hideMark/>
          </w:tcPr>
          <w:p w14:paraId="479B8C98" w14:textId="77777777" w:rsidR="00294FDD" w:rsidRPr="001C2012" w:rsidRDefault="00294FDD" w:rsidP="001C2012">
            <w:pPr>
              <w:pStyle w:val="NoSpacing1"/>
              <w:cnfStyle w:val="000000100000" w:firstRow="0" w:lastRow="0" w:firstColumn="0" w:lastColumn="0" w:oddVBand="0" w:evenVBand="0" w:oddHBand="1" w:evenHBand="0" w:firstRowFirstColumn="0" w:firstRowLastColumn="0" w:lastRowFirstColumn="0" w:lastRowLastColumn="0"/>
              <w:rPr>
                <w:sz w:val="18"/>
              </w:rPr>
            </w:pPr>
            <w:r w:rsidRPr="001C2012">
              <w:rPr>
                <w:sz w:val="18"/>
              </w:rPr>
              <w:t>Mean</w:t>
            </w:r>
          </w:p>
        </w:tc>
        <w:tc>
          <w:tcPr>
            <w:tcW w:w="898" w:type="dxa"/>
            <w:noWrap/>
            <w:hideMark/>
          </w:tcPr>
          <w:p w14:paraId="356D6B27" w14:textId="77777777" w:rsidR="00294FDD" w:rsidRPr="001C2012" w:rsidRDefault="00294FDD" w:rsidP="001C2012">
            <w:pPr>
              <w:pStyle w:val="NoSpacing1"/>
              <w:cnfStyle w:val="000000100000" w:firstRow="0" w:lastRow="0" w:firstColumn="0" w:lastColumn="0" w:oddVBand="0" w:evenVBand="0" w:oddHBand="1" w:evenHBand="0" w:firstRowFirstColumn="0" w:firstRowLastColumn="0" w:lastRowFirstColumn="0" w:lastRowLastColumn="0"/>
              <w:rPr>
                <w:sz w:val="18"/>
              </w:rPr>
            </w:pPr>
            <w:r w:rsidRPr="001C2012">
              <w:rPr>
                <w:sz w:val="18"/>
              </w:rPr>
              <w:t>-2σ</w:t>
            </w:r>
          </w:p>
        </w:tc>
        <w:tc>
          <w:tcPr>
            <w:tcW w:w="1035" w:type="dxa"/>
            <w:noWrap/>
            <w:hideMark/>
          </w:tcPr>
          <w:p w14:paraId="41B47908" w14:textId="77777777" w:rsidR="00294FDD" w:rsidRPr="001C2012" w:rsidRDefault="00294FDD" w:rsidP="001C2012">
            <w:pPr>
              <w:pStyle w:val="NoSpacing1"/>
              <w:cnfStyle w:val="000000100000" w:firstRow="0" w:lastRow="0" w:firstColumn="0" w:lastColumn="0" w:oddVBand="0" w:evenVBand="0" w:oddHBand="1" w:evenHBand="0" w:firstRowFirstColumn="0" w:firstRowLastColumn="0" w:lastRowFirstColumn="0" w:lastRowLastColumn="0"/>
              <w:rPr>
                <w:sz w:val="18"/>
              </w:rPr>
            </w:pPr>
            <w:r w:rsidRPr="001C2012">
              <w:rPr>
                <w:sz w:val="18"/>
              </w:rPr>
              <w:t>2σ</w:t>
            </w:r>
          </w:p>
        </w:tc>
      </w:tr>
      <w:tr w:rsidR="00706997" w:rsidRPr="00CE304A" w14:paraId="77F6DAB1" w14:textId="77777777" w:rsidTr="002B1D44">
        <w:trPr>
          <w:trHeight w:val="245"/>
        </w:trPr>
        <w:tc>
          <w:tcPr>
            <w:cnfStyle w:val="001000000000" w:firstRow="0" w:lastRow="0" w:firstColumn="1" w:lastColumn="0" w:oddVBand="0" w:evenVBand="0" w:oddHBand="0" w:evenHBand="0" w:firstRowFirstColumn="0" w:firstRowLastColumn="0" w:lastRowFirstColumn="0" w:lastRowLastColumn="0"/>
            <w:tcW w:w="621" w:type="dxa"/>
            <w:noWrap/>
            <w:hideMark/>
          </w:tcPr>
          <w:p w14:paraId="1E22846F" w14:textId="77777777" w:rsidR="00DC11D6" w:rsidRPr="00C327E5" w:rsidRDefault="00DC11D6" w:rsidP="00C327E5">
            <w:pPr>
              <w:pStyle w:val="NoSpacing1"/>
              <w:rPr>
                <w:b w:val="0"/>
                <w:bCs/>
                <w:sz w:val="18"/>
                <w:szCs w:val="18"/>
              </w:rPr>
            </w:pPr>
            <w:r w:rsidRPr="00C327E5">
              <w:rPr>
                <w:bCs/>
                <w:sz w:val="18"/>
                <w:szCs w:val="18"/>
              </w:rPr>
              <w:t>2013</w:t>
            </w:r>
          </w:p>
        </w:tc>
        <w:tc>
          <w:tcPr>
            <w:tcW w:w="681" w:type="dxa"/>
            <w:noWrap/>
            <w:hideMark/>
          </w:tcPr>
          <w:p w14:paraId="2D3F5FC1" w14:textId="77777777" w:rsidR="00DC11D6" w:rsidRPr="00C327E5" w:rsidRDefault="00DC11D6" w:rsidP="00C327E5">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716" w:type="dxa"/>
            <w:noWrap/>
            <w:hideMark/>
          </w:tcPr>
          <w:p w14:paraId="73494940" w14:textId="77777777" w:rsidR="00DC11D6" w:rsidRPr="00C327E5" w:rsidRDefault="00DC11D6" w:rsidP="00C327E5">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660" w:type="dxa"/>
            <w:noWrap/>
            <w:hideMark/>
          </w:tcPr>
          <w:p w14:paraId="5D8C09CB" w14:textId="77777777" w:rsidR="00DC11D6" w:rsidRPr="00C327E5" w:rsidRDefault="00DC11D6" w:rsidP="00C327E5">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681" w:type="dxa"/>
            <w:noWrap/>
            <w:hideMark/>
          </w:tcPr>
          <w:p w14:paraId="6060A02A" w14:textId="77777777" w:rsidR="00DC11D6" w:rsidRPr="00C327E5" w:rsidRDefault="00DC11D6" w:rsidP="00C327E5">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588" w:type="dxa"/>
            <w:noWrap/>
            <w:hideMark/>
          </w:tcPr>
          <w:p w14:paraId="75ED48EA" w14:textId="77777777" w:rsidR="00DC11D6" w:rsidRPr="00C327E5" w:rsidRDefault="00DC11D6" w:rsidP="00C327E5">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632" w:type="dxa"/>
            <w:noWrap/>
            <w:hideMark/>
          </w:tcPr>
          <w:p w14:paraId="2B133B29" w14:textId="77777777" w:rsidR="00DC11D6" w:rsidRPr="00C327E5" w:rsidRDefault="00DC11D6" w:rsidP="00C327E5">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664" w:type="dxa"/>
            <w:noWrap/>
            <w:hideMark/>
          </w:tcPr>
          <w:p w14:paraId="1BD15B01" w14:textId="77777777" w:rsidR="00DC11D6" w:rsidRPr="00C327E5" w:rsidRDefault="00DC11D6" w:rsidP="00C327E5">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556" w:type="dxa"/>
            <w:noWrap/>
            <w:hideMark/>
          </w:tcPr>
          <w:p w14:paraId="499CF74D" w14:textId="77777777" w:rsidR="00DC11D6" w:rsidRPr="00C327E5" w:rsidRDefault="00DC11D6" w:rsidP="00C327E5">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771" w:type="dxa"/>
            <w:noWrap/>
            <w:hideMark/>
          </w:tcPr>
          <w:p w14:paraId="25C818D2" w14:textId="77777777" w:rsidR="00DC11D6" w:rsidRPr="00C327E5" w:rsidRDefault="00DC11D6" w:rsidP="00C327E5">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1035" w:type="dxa"/>
            <w:noWrap/>
            <w:hideMark/>
          </w:tcPr>
          <w:p w14:paraId="086CED96" w14:textId="77777777" w:rsidR="00DC11D6" w:rsidRPr="00C327E5" w:rsidRDefault="00DC11D6" w:rsidP="00C327E5">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1035" w:type="dxa"/>
            <w:noWrap/>
            <w:hideMark/>
          </w:tcPr>
          <w:p w14:paraId="55E336EF" w14:textId="77777777" w:rsidR="00DC11D6" w:rsidRPr="00C327E5" w:rsidRDefault="00DC11D6" w:rsidP="00C327E5">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1051" w:type="dxa"/>
            <w:noWrap/>
            <w:hideMark/>
          </w:tcPr>
          <w:p w14:paraId="08BF4572" w14:textId="77777777" w:rsidR="00DC11D6" w:rsidRPr="00C327E5" w:rsidRDefault="00DC11D6" w:rsidP="00C327E5">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1035" w:type="dxa"/>
            <w:noWrap/>
            <w:hideMark/>
          </w:tcPr>
          <w:p w14:paraId="2CD7D8FE" w14:textId="77777777" w:rsidR="00DC11D6" w:rsidRPr="00C327E5" w:rsidRDefault="00DC11D6" w:rsidP="00C327E5">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898" w:type="dxa"/>
            <w:noWrap/>
            <w:hideMark/>
          </w:tcPr>
          <w:p w14:paraId="6FAC530D" w14:textId="77777777" w:rsidR="00DC11D6" w:rsidRPr="00C327E5" w:rsidRDefault="00DC11D6" w:rsidP="00C327E5">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1035" w:type="dxa"/>
            <w:noWrap/>
            <w:hideMark/>
          </w:tcPr>
          <w:p w14:paraId="40FAFE34" w14:textId="77777777" w:rsidR="00DC11D6" w:rsidRPr="00C327E5" w:rsidRDefault="00DC11D6" w:rsidP="00C327E5">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r>
      <w:tr w:rsidR="00C327E5" w:rsidRPr="00CE304A" w14:paraId="79C61BD0" w14:textId="77777777" w:rsidTr="002B1D44">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621" w:type="dxa"/>
            <w:noWrap/>
            <w:hideMark/>
          </w:tcPr>
          <w:p w14:paraId="5430B548" w14:textId="77777777" w:rsidR="00C327E5" w:rsidRPr="00C327E5" w:rsidRDefault="00C327E5" w:rsidP="00C327E5">
            <w:pPr>
              <w:pStyle w:val="NoSpacing1"/>
              <w:rPr>
                <w:b w:val="0"/>
                <w:sz w:val="18"/>
                <w:szCs w:val="18"/>
              </w:rPr>
            </w:pPr>
            <w:r w:rsidRPr="00C327E5">
              <w:rPr>
                <w:sz w:val="18"/>
                <w:szCs w:val="18"/>
              </w:rPr>
              <w:t>40</w:t>
            </w:r>
          </w:p>
        </w:tc>
        <w:tc>
          <w:tcPr>
            <w:tcW w:w="681" w:type="dxa"/>
            <w:noWrap/>
            <w:vAlign w:val="bottom"/>
            <w:hideMark/>
          </w:tcPr>
          <w:p w14:paraId="6BA76418"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2,280</w:t>
            </w:r>
          </w:p>
        </w:tc>
        <w:tc>
          <w:tcPr>
            <w:tcW w:w="716" w:type="dxa"/>
            <w:noWrap/>
            <w:vAlign w:val="bottom"/>
            <w:hideMark/>
          </w:tcPr>
          <w:p w14:paraId="0FB7DDDD"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1,146</w:t>
            </w:r>
          </w:p>
        </w:tc>
        <w:tc>
          <w:tcPr>
            <w:tcW w:w="660" w:type="dxa"/>
            <w:noWrap/>
            <w:vAlign w:val="bottom"/>
            <w:hideMark/>
          </w:tcPr>
          <w:p w14:paraId="1BC7258E"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3,415</w:t>
            </w:r>
          </w:p>
        </w:tc>
        <w:tc>
          <w:tcPr>
            <w:tcW w:w="681" w:type="dxa"/>
            <w:noWrap/>
            <w:hideMark/>
          </w:tcPr>
          <w:p w14:paraId="41F869E4"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2,247</w:t>
            </w:r>
          </w:p>
        </w:tc>
        <w:tc>
          <w:tcPr>
            <w:tcW w:w="588" w:type="dxa"/>
            <w:noWrap/>
            <w:hideMark/>
          </w:tcPr>
          <w:p w14:paraId="7203173B"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-449</w:t>
            </w:r>
          </w:p>
        </w:tc>
        <w:tc>
          <w:tcPr>
            <w:tcW w:w="632" w:type="dxa"/>
            <w:noWrap/>
            <w:hideMark/>
          </w:tcPr>
          <w:p w14:paraId="7B9F369B"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4,944</w:t>
            </w:r>
          </w:p>
        </w:tc>
        <w:tc>
          <w:tcPr>
            <w:tcW w:w="664" w:type="dxa"/>
            <w:noWrap/>
            <w:hideMark/>
          </w:tcPr>
          <w:p w14:paraId="25FEC209"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1,284</w:t>
            </w:r>
          </w:p>
        </w:tc>
        <w:tc>
          <w:tcPr>
            <w:tcW w:w="556" w:type="dxa"/>
            <w:noWrap/>
            <w:hideMark/>
          </w:tcPr>
          <w:p w14:paraId="39669223"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377</w:t>
            </w:r>
          </w:p>
        </w:tc>
        <w:tc>
          <w:tcPr>
            <w:tcW w:w="771" w:type="dxa"/>
            <w:noWrap/>
            <w:hideMark/>
          </w:tcPr>
          <w:p w14:paraId="2F010B67"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2,191</w:t>
            </w:r>
          </w:p>
        </w:tc>
        <w:tc>
          <w:tcPr>
            <w:tcW w:w="1035" w:type="dxa"/>
            <w:noWrap/>
            <w:hideMark/>
          </w:tcPr>
          <w:p w14:paraId="561F3B38"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4,197,816</w:t>
            </w:r>
          </w:p>
        </w:tc>
        <w:tc>
          <w:tcPr>
            <w:tcW w:w="1035" w:type="dxa"/>
            <w:noWrap/>
            <w:hideMark/>
          </w:tcPr>
          <w:p w14:paraId="072FB428"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1,892,705</w:t>
            </w:r>
          </w:p>
        </w:tc>
        <w:tc>
          <w:tcPr>
            <w:tcW w:w="1051" w:type="dxa"/>
            <w:noWrap/>
            <w:hideMark/>
          </w:tcPr>
          <w:p w14:paraId="4C1F09B8"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6,502,927</w:t>
            </w:r>
          </w:p>
        </w:tc>
        <w:tc>
          <w:tcPr>
            <w:tcW w:w="1035" w:type="dxa"/>
            <w:noWrap/>
            <w:hideMark/>
          </w:tcPr>
          <w:p w14:paraId="5DC4B19B"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1,202,964</w:t>
            </w:r>
          </w:p>
        </w:tc>
        <w:tc>
          <w:tcPr>
            <w:tcW w:w="898" w:type="dxa"/>
            <w:noWrap/>
            <w:hideMark/>
          </w:tcPr>
          <w:p w14:paraId="5DDE7860"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486,281</w:t>
            </w:r>
          </w:p>
        </w:tc>
        <w:tc>
          <w:tcPr>
            <w:tcW w:w="1035" w:type="dxa"/>
            <w:noWrap/>
            <w:hideMark/>
          </w:tcPr>
          <w:p w14:paraId="3ABCD863"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1,919,647</w:t>
            </w:r>
          </w:p>
        </w:tc>
      </w:tr>
      <w:tr w:rsidR="00C327E5" w:rsidRPr="00CE304A" w14:paraId="347595D5" w14:textId="77777777" w:rsidTr="002B1D44">
        <w:trPr>
          <w:trHeight w:val="245"/>
        </w:trPr>
        <w:tc>
          <w:tcPr>
            <w:cnfStyle w:val="001000000000" w:firstRow="0" w:lastRow="0" w:firstColumn="1" w:lastColumn="0" w:oddVBand="0" w:evenVBand="0" w:oddHBand="0" w:evenHBand="0" w:firstRowFirstColumn="0" w:firstRowLastColumn="0" w:lastRowFirstColumn="0" w:lastRowLastColumn="0"/>
            <w:tcW w:w="621" w:type="dxa"/>
            <w:noWrap/>
            <w:hideMark/>
          </w:tcPr>
          <w:p w14:paraId="4025F033" w14:textId="77777777" w:rsidR="00C327E5" w:rsidRPr="00C327E5" w:rsidRDefault="00C327E5" w:rsidP="00C327E5">
            <w:pPr>
              <w:pStyle w:val="NoSpacing1"/>
              <w:rPr>
                <w:b w:val="0"/>
                <w:sz w:val="18"/>
                <w:szCs w:val="18"/>
              </w:rPr>
            </w:pPr>
            <w:r w:rsidRPr="00C327E5">
              <w:rPr>
                <w:sz w:val="18"/>
                <w:szCs w:val="18"/>
              </w:rPr>
              <w:t>65</w:t>
            </w:r>
          </w:p>
        </w:tc>
        <w:tc>
          <w:tcPr>
            <w:tcW w:w="681" w:type="dxa"/>
            <w:noWrap/>
            <w:vAlign w:val="bottom"/>
            <w:hideMark/>
          </w:tcPr>
          <w:p w14:paraId="0A7CB543"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1,620</w:t>
            </w:r>
          </w:p>
        </w:tc>
        <w:tc>
          <w:tcPr>
            <w:tcW w:w="716" w:type="dxa"/>
            <w:noWrap/>
            <w:vAlign w:val="bottom"/>
            <w:hideMark/>
          </w:tcPr>
          <w:p w14:paraId="6D4291EB"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813</w:t>
            </w:r>
          </w:p>
        </w:tc>
        <w:tc>
          <w:tcPr>
            <w:tcW w:w="660" w:type="dxa"/>
            <w:noWrap/>
            <w:vAlign w:val="bottom"/>
            <w:hideMark/>
          </w:tcPr>
          <w:p w14:paraId="2DE4E89F"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2,427</w:t>
            </w:r>
          </w:p>
        </w:tc>
        <w:tc>
          <w:tcPr>
            <w:tcW w:w="681" w:type="dxa"/>
            <w:noWrap/>
            <w:hideMark/>
          </w:tcPr>
          <w:p w14:paraId="41BCE62A"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1,689</w:t>
            </w:r>
          </w:p>
        </w:tc>
        <w:tc>
          <w:tcPr>
            <w:tcW w:w="588" w:type="dxa"/>
            <w:noWrap/>
            <w:hideMark/>
          </w:tcPr>
          <w:p w14:paraId="06D6C143"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-339</w:t>
            </w:r>
          </w:p>
        </w:tc>
        <w:tc>
          <w:tcPr>
            <w:tcW w:w="632" w:type="dxa"/>
            <w:noWrap/>
            <w:hideMark/>
          </w:tcPr>
          <w:p w14:paraId="77C0DF4F"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3,717</w:t>
            </w:r>
          </w:p>
        </w:tc>
        <w:tc>
          <w:tcPr>
            <w:tcW w:w="664" w:type="dxa"/>
            <w:noWrap/>
            <w:hideMark/>
          </w:tcPr>
          <w:p w14:paraId="3D43CDD7"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927</w:t>
            </w:r>
          </w:p>
        </w:tc>
        <w:tc>
          <w:tcPr>
            <w:tcW w:w="556" w:type="dxa"/>
            <w:noWrap/>
            <w:hideMark/>
          </w:tcPr>
          <w:p w14:paraId="6D3C798F"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274</w:t>
            </w:r>
          </w:p>
        </w:tc>
        <w:tc>
          <w:tcPr>
            <w:tcW w:w="771" w:type="dxa"/>
            <w:noWrap/>
            <w:hideMark/>
          </w:tcPr>
          <w:p w14:paraId="44105597"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1,581</w:t>
            </w:r>
          </w:p>
        </w:tc>
        <w:tc>
          <w:tcPr>
            <w:tcW w:w="1035" w:type="dxa"/>
            <w:noWrap/>
            <w:hideMark/>
          </w:tcPr>
          <w:p w14:paraId="41B05866"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3,075,827</w:t>
            </w:r>
          </w:p>
        </w:tc>
        <w:tc>
          <w:tcPr>
            <w:tcW w:w="1035" w:type="dxa"/>
            <w:noWrap/>
            <w:hideMark/>
          </w:tcPr>
          <w:p w14:paraId="253C1307"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1,381,628</w:t>
            </w:r>
          </w:p>
        </w:tc>
        <w:tc>
          <w:tcPr>
            <w:tcW w:w="1051" w:type="dxa"/>
            <w:noWrap/>
            <w:hideMark/>
          </w:tcPr>
          <w:p w14:paraId="0CB2C272"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4,770,027</w:t>
            </w:r>
          </w:p>
        </w:tc>
        <w:tc>
          <w:tcPr>
            <w:tcW w:w="1035" w:type="dxa"/>
            <w:noWrap/>
            <w:hideMark/>
          </w:tcPr>
          <w:p w14:paraId="40DA4D28"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890,618</w:t>
            </w:r>
          </w:p>
        </w:tc>
        <w:tc>
          <w:tcPr>
            <w:tcW w:w="898" w:type="dxa"/>
            <w:noWrap/>
            <w:hideMark/>
          </w:tcPr>
          <w:p w14:paraId="11CEC4C9"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360,100</w:t>
            </w:r>
          </w:p>
        </w:tc>
        <w:tc>
          <w:tcPr>
            <w:tcW w:w="1035" w:type="dxa"/>
            <w:noWrap/>
            <w:hideMark/>
          </w:tcPr>
          <w:p w14:paraId="446010E9"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1,421,135</w:t>
            </w:r>
          </w:p>
        </w:tc>
      </w:tr>
      <w:tr w:rsidR="00C327E5" w:rsidRPr="00CE304A" w14:paraId="7D9DEAC5" w14:textId="77777777" w:rsidTr="002B1D4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21" w:type="dxa"/>
            <w:noWrap/>
            <w:hideMark/>
          </w:tcPr>
          <w:p w14:paraId="1E01E865" w14:textId="77777777" w:rsidR="00C327E5" w:rsidRPr="00C327E5" w:rsidRDefault="00C327E5" w:rsidP="00C327E5">
            <w:pPr>
              <w:pStyle w:val="NoSpacing1"/>
              <w:rPr>
                <w:b w:val="0"/>
                <w:sz w:val="18"/>
                <w:szCs w:val="18"/>
              </w:rPr>
            </w:pPr>
            <w:r w:rsidRPr="00C327E5">
              <w:rPr>
                <w:sz w:val="18"/>
                <w:szCs w:val="18"/>
              </w:rPr>
              <w:t>70</w:t>
            </w:r>
          </w:p>
        </w:tc>
        <w:tc>
          <w:tcPr>
            <w:tcW w:w="681" w:type="dxa"/>
            <w:noWrap/>
            <w:vAlign w:val="bottom"/>
            <w:hideMark/>
          </w:tcPr>
          <w:p w14:paraId="4A3D2044"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817</w:t>
            </w:r>
          </w:p>
        </w:tc>
        <w:tc>
          <w:tcPr>
            <w:tcW w:w="716" w:type="dxa"/>
            <w:noWrap/>
            <w:vAlign w:val="bottom"/>
            <w:hideMark/>
          </w:tcPr>
          <w:p w14:paraId="260BA5AC"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410</w:t>
            </w:r>
          </w:p>
        </w:tc>
        <w:tc>
          <w:tcPr>
            <w:tcW w:w="660" w:type="dxa"/>
            <w:noWrap/>
            <w:vAlign w:val="bottom"/>
            <w:hideMark/>
          </w:tcPr>
          <w:p w14:paraId="27DF9093"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1,224</w:t>
            </w:r>
          </w:p>
        </w:tc>
        <w:tc>
          <w:tcPr>
            <w:tcW w:w="681" w:type="dxa"/>
            <w:noWrap/>
            <w:hideMark/>
          </w:tcPr>
          <w:p w14:paraId="46BA301E"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911</w:t>
            </w:r>
          </w:p>
        </w:tc>
        <w:tc>
          <w:tcPr>
            <w:tcW w:w="588" w:type="dxa"/>
            <w:noWrap/>
            <w:hideMark/>
          </w:tcPr>
          <w:p w14:paraId="6FD4CB22"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-184</w:t>
            </w:r>
          </w:p>
        </w:tc>
        <w:tc>
          <w:tcPr>
            <w:tcW w:w="632" w:type="dxa"/>
            <w:noWrap/>
            <w:hideMark/>
          </w:tcPr>
          <w:p w14:paraId="5181C831"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2,006</w:t>
            </w:r>
          </w:p>
        </w:tc>
        <w:tc>
          <w:tcPr>
            <w:tcW w:w="664" w:type="dxa"/>
            <w:noWrap/>
            <w:hideMark/>
          </w:tcPr>
          <w:p w14:paraId="7AE9EEEB"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466</w:t>
            </w:r>
          </w:p>
        </w:tc>
        <w:tc>
          <w:tcPr>
            <w:tcW w:w="556" w:type="dxa"/>
            <w:noWrap/>
            <w:hideMark/>
          </w:tcPr>
          <w:p w14:paraId="7B7F9585"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142</w:t>
            </w:r>
          </w:p>
        </w:tc>
        <w:tc>
          <w:tcPr>
            <w:tcW w:w="771" w:type="dxa"/>
            <w:noWrap/>
            <w:hideMark/>
          </w:tcPr>
          <w:p w14:paraId="6897FBBC"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789</w:t>
            </w:r>
          </w:p>
        </w:tc>
        <w:tc>
          <w:tcPr>
            <w:tcW w:w="1035" w:type="dxa"/>
            <w:noWrap/>
            <w:hideMark/>
          </w:tcPr>
          <w:p w14:paraId="29A15535"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1,610,165</w:t>
            </w:r>
          </w:p>
        </w:tc>
        <w:tc>
          <w:tcPr>
            <w:tcW w:w="1035" w:type="dxa"/>
            <w:noWrap/>
            <w:hideMark/>
          </w:tcPr>
          <w:p w14:paraId="2D4E9A09"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721,417</w:t>
            </w:r>
          </w:p>
        </w:tc>
        <w:tc>
          <w:tcPr>
            <w:tcW w:w="1051" w:type="dxa"/>
            <w:noWrap/>
            <w:hideMark/>
          </w:tcPr>
          <w:p w14:paraId="3B78258F"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2,498,912</w:t>
            </w:r>
          </w:p>
        </w:tc>
        <w:tc>
          <w:tcPr>
            <w:tcW w:w="1035" w:type="dxa"/>
            <w:noWrap/>
            <w:hideMark/>
          </w:tcPr>
          <w:p w14:paraId="0B45B412"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456,384</w:t>
            </w:r>
          </w:p>
        </w:tc>
        <w:tc>
          <w:tcPr>
            <w:tcW w:w="898" w:type="dxa"/>
            <w:noWrap/>
            <w:hideMark/>
          </w:tcPr>
          <w:p w14:paraId="0C19D735"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184,554</w:t>
            </w:r>
          </w:p>
        </w:tc>
        <w:tc>
          <w:tcPr>
            <w:tcW w:w="1035" w:type="dxa"/>
            <w:noWrap/>
            <w:hideMark/>
          </w:tcPr>
          <w:p w14:paraId="5661B65D"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728,213</w:t>
            </w:r>
          </w:p>
        </w:tc>
      </w:tr>
      <w:tr w:rsidR="00C327E5" w:rsidRPr="00CE304A" w14:paraId="7E5E68D4" w14:textId="77777777" w:rsidTr="002B1D44">
        <w:trPr>
          <w:trHeight w:val="245"/>
        </w:trPr>
        <w:tc>
          <w:tcPr>
            <w:cnfStyle w:val="001000000000" w:firstRow="0" w:lastRow="0" w:firstColumn="1" w:lastColumn="0" w:oddVBand="0" w:evenVBand="0" w:oddHBand="0" w:evenHBand="0" w:firstRowFirstColumn="0" w:firstRowLastColumn="0" w:lastRowFirstColumn="0" w:lastRowLastColumn="0"/>
            <w:tcW w:w="621" w:type="dxa"/>
            <w:noWrap/>
            <w:hideMark/>
          </w:tcPr>
          <w:p w14:paraId="2E44715E" w14:textId="77777777" w:rsidR="00C327E5" w:rsidRPr="00C327E5" w:rsidRDefault="00C327E5" w:rsidP="00C327E5">
            <w:pPr>
              <w:pStyle w:val="NoSpacing1"/>
              <w:rPr>
                <w:b w:val="0"/>
                <w:bCs/>
                <w:sz w:val="18"/>
                <w:szCs w:val="18"/>
              </w:rPr>
            </w:pPr>
            <w:r w:rsidRPr="00C327E5">
              <w:rPr>
                <w:bCs/>
                <w:sz w:val="18"/>
                <w:szCs w:val="18"/>
              </w:rPr>
              <w:t>2014</w:t>
            </w:r>
          </w:p>
        </w:tc>
        <w:tc>
          <w:tcPr>
            <w:tcW w:w="681" w:type="dxa"/>
            <w:noWrap/>
            <w:vAlign w:val="bottom"/>
            <w:hideMark/>
          </w:tcPr>
          <w:p w14:paraId="12BDE8E9"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716" w:type="dxa"/>
            <w:noWrap/>
            <w:vAlign w:val="bottom"/>
            <w:hideMark/>
          </w:tcPr>
          <w:p w14:paraId="1A9CEA3E"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660" w:type="dxa"/>
            <w:noWrap/>
            <w:vAlign w:val="bottom"/>
            <w:hideMark/>
          </w:tcPr>
          <w:p w14:paraId="10D31DD3"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681" w:type="dxa"/>
            <w:noWrap/>
            <w:hideMark/>
          </w:tcPr>
          <w:p w14:paraId="0E2BDE34"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588" w:type="dxa"/>
            <w:noWrap/>
            <w:hideMark/>
          </w:tcPr>
          <w:p w14:paraId="43F82D5C"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632" w:type="dxa"/>
            <w:noWrap/>
            <w:hideMark/>
          </w:tcPr>
          <w:p w14:paraId="22F0EC4E"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664" w:type="dxa"/>
            <w:noWrap/>
            <w:hideMark/>
          </w:tcPr>
          <w:p w14:paraId="0FA62390"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556" w:type="dxa"/>
            <w:noWrap/>
            <w:hideMark/>
          </w:tcPr>
          <w:p w14:paraId="73AEF9C4"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771" w:type="dxa"/>
            <w:noWrap/>
            <w:hideMark/>
          </w:tcPr>
          <w:p w14:paraId="1AB0C5B9"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1035" w:type="dxa"/>
            <w:noWrap/>
            <w:hideMark/>
          </w:tcPr>
          <w:p w14:paraId="0A9E04E1"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1035" w:type="dxa"/>
            <w:noWrap/>
            <w:hideMark/>
          </w:tcPr>
          <w:p w14:paraId="6B2DE7D4"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1051" w:type="dxa"/>
            <w:noWrap/>
            <w:hideMark/>
          </w:tcPr>
          <w:p w14:paraId="5B23A3C7"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1035" w:type="dxa"/>
            <w:noWrap/>
            <w:hideMark/>
          </w:tcPr>
          <w:p w14:paraId="014EFB90"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898" w:type="dxa"/>
            <w:noWrap/>
            <w:hideMark/>
          </w:tcPr>
          <w:p w14:paraId="4E1576DD"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1035" w:type="dxa"/>
            <w:noWrap/>
            <w:hideMark/>
          </w:tcPr>
          <w:p w14:paraId="287DD4EE"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r>
      <w:tr w:rsidR="00C327E5" w:rsidRPr="00CE304A" w14:paraId="0C908536" w14:textId="77777777" w:rsidTr="002B1D4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21" w:type="dxa"/>
            <w:noWrap/>
            <w:hideMark/>
          </w:tcPr>
          <w:p w14:paraId="06E879F7" w14:textId="77777777" w:rsidR="00C327E5" w:rsidRPr="00C327E5" w:rsidRDefault="00C327E5" w:rsidP="00C327E5">
            <w:pPr>
              <w:pStyle w:val="NoSpacing1"/>
              <w:rPr>
                <w:b w:val="0"/>
                <w:sz w:val="18"/>
                <w:szCs w:val="18"/>
              </w:rPr>
            </w:pPr>
            <w:r w:rsidRPr="00C327E5">
              <w:rPr>
                <w:sz w:val="18"/>
                <w:szCs w:val="18"/>
              </w:rPr>
              <w:t>40</w:t>
            </w:r>
          </w:p>
        </w:tc>
        <w:tc>
          <w:tcPr>
            <w:tcW w:w="681" w:type="dxa"/>
            <w:noWrap/>
            <w:vAlign w:val="bottom"/>
            <w:hideMark/>
          </w:tcPr>
          <w:p w14:paraId="1F9BB068"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2,193</w:t>
            </w:r>
          </w:p>
        </w:tc>
        <w:tc>
          <w:tcPr>
            <w:tcW w:w="716" w:type="dxa"/>
            <w:noWrap/>
            <w:vAlign w:val="bottom"/>
            <w:hideMark/>
          </w:tcPr>
          <w:p w14:paraId="32CB37AF"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1,101</w:t>
            </w:r>
          </w:p>
        </w:tc>
        <w:tc>
          <w:tcPr>
            <w:tcW w:w="660" w:type="dxa"/>
            <w:noWrap/>
            <w:vAlign w:val="bottom"/>
            <w:hideMark/>
          </w:tcPr>
          <w:p w14:paraId="39240D5D"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3,284</w:t>
            </w:r>
          </w:p>
        </w:tc>
        <w:tc>
          <w:tcPr>
            <w:tcW w:w="681" w:type="dxa"/>
            <w:noWrap/>
            <w:hideMark/>
          </w:tcPr>
          <w:p w14:paraId="37218BFE"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2,175</w:t>
            </w:r>
          </w:p>
        </w:tc>
        <w:tc>
          <w:tcPr>
            <w:tcW w:w="588" w:type="dxa"/>
            <w:noWrap/>
            <w:hideMark/>
          </w:tcPr>
          <w:p w14:paraId="1D0455A2"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-435</w:t>
            </w:r>
          </w:p>
        </w:tc>
        <w:tc>
          <w:tcPr>
            <w:tcW w:w="632" w:type="dxa"/>
            <w:noWrap/>
            <w:hideMark/>
          </w:tcPr>
          <w:p w14:paraId="4A55F0D5"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4,786</w:t>
            </w:r>
          </w:p>
        </w:tc>
        <w:tc>
          <w:tcPr>
            <w:tcW w:w="664" w:type="dxa"/>
            <w:noWrap/>
            <w:hideMark/>
          </w:tcPr>
          <w:p w14:paraId="5E04F212"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1,246</w:t>
            </w:r>
          </w:p>
        </w:tc>
        <w:tc>
          <w:tcPr>
            <w:tcW w:w="556" w:type="dxa"/>
            <w:noWrap/>
            <w:hideMark/>
          </w:tcPr>
          <w:p w14:paraId="7EC77C72"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365</w:t>
            </w:r>
          </w:p>
        </w:tc>
        <w:tc>
          <w:tcPr>
            <w:tcW w:w="771" w:type="dxa"/>
            <w:noWrap/>
            <w:hideMark/>
          </w:tcPr>
          <w:p w14:paraId="45FE0E6F"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2,127</w:t>
            </w:r>
          </w:p>
        </w:tc>
        <w:tc>
          <w:tcPr>
            <w:tcW w:w="1035" w:type="dxa"/>
            <w:noWrap/>
            <w:hideMark/>
          </w:tcPr>
          <w:p w14:paraId="3E7C9D41"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4,045,310</w:t>
            </w:r>
          </w:p>
        </w:tc>
        <w:tc>
          <w:tcPr>
            <w:tcW w:w="1035" w:type="dxa"/>
            <w:noWrap/>
            <w:hideMark/>
          </w:tcPr>
          <w:p w14:paraId="4DA993CA"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1,822,237</w:t>
            </w:r>
          </w:p>
        </w:tc>
        <w:tc>
          <w:tcPr>
            <w:tcW w:w="1051" w:type="dxa"/>
            <w:noWrap/>
            <w:hideMark/>
          </w:tcPr>
          <w:p w14:paraId="7D9789AA"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6,268,383</w:t>
            </w:r>
          </w:p>
        </w:tc>
        <w:tc>
          <w:tcPr>
            <w:tcW w:w="1035" w:type="dxa"/>
            <w:noWrap/>
            <w:hideMark/>
          </w:tcPr>
          <w:p w14:paraId="3989446E"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1,152,382</w:t>
            </w:r>
          </w:p>
        </w:tc>
        <w:tc>
          <w:tcPr>
            <w:tcW w:w="898" w:type="dxa"/>
            <w:noWrap/>
            <w:hideMark/>
          </w:tcPr>
          <w:p w14:paraId="62130B99"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465,887</w:t>
            </w:r>
          </w:p>
        </w:tc>
        <w:tc>
          <w:tcPr>
            <w:tcW w:w="1035" w:type="dxa"/>
            <w:noWrap/>
            <w:hideMark/>
          </w:tcPr>
          <w:p w14:paraId="0FB0CC0B"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1,838,876</w:t>
            </w:r>
          </w:p>
        </w:tc>
      </w:tr>
      <w:tr w:rsidR="00C327E5" w:rsidRPr="00CE304A" w14:paraId="1CBD83C3" w14:textId="77777777" w:rsidTr="002B1D44">
        <w:trPr>
          <w:trHeight w:val="245"/>
        </w:trPr>
        <w:tc>
          <w:tcPr>
            <w:cnfStyle w:val="001000000000" w:firstRow="0" w:lastRow="0" w:firstColumn="1" w:lastColumn="0" w:oddVBand="0" w:evenVBand="0" w:oddHBand="0" w:evenHBand="0" w:firstRowFirstColumn="0" w:firstRowLastColumn="0" w:lastRowFirstColumn="0" w:lastRowLastColumn="0"/>
            <w:tcW w:w="621" w:type="dxa"/>
            <w:noWrap/>
            <w:hideMark/>
          </w:tcPr>
          <w:p w14:paraId="1F531979" w14:textId="77777777" w:rsidR="00C327E5" w:rsidRPr="00C327E5" w:rsidRDefault="00C327E5" w:rsidP="00C327E5">
            <w:pPr>
              <w:pStyle w:val="NoSpacing1"/>
              <w:rPr>
                <w:b w:val="0"/>
                <w:sz w:val="18"/>
                <w:szCs w:val="18"/>
              </w:rPr>
            </w:pPr>
            <w:r w:rsidRPr="00C327E5">
              <w:rPr>
                <w:sz w:val="18"/>
                <w:szCs w:val="18"/>
              </w:rPr>
              <w:t>65</w:t>
            </w:r>
          </w:p>
        </w:tc>
        <w:tc>
          <w:tcPr>
            <w:tcW w:w="681" w:type="dxa"/>
            <w:noWrap/>
            <w:vAlign w:val="bottom"/>
            <w:hideMark/>
          </w:tcPr>
          <w:p w14:paraId="5204FAEB"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1,378</w:t>
            </w:r>
          </w:p>
        </w:tc>
        <w:tc>
          <w:tcPr>
            <w:tcW w:w="716" w:type="dxa"/>
            <w:noWrap/>
            <w:vAlign w:val="bottom"/>
            <w:hideMark/>
          </w:tcPr>
          <w:p w14:paraId="241AD98C"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692</w:t>
            </w:r>
          </w:p>
        </w:tc>
        <w:tc>
          <w:tcPr>
            <w:tcW w:w="660" w:type="dxa"/>
            <w:noWrap/>
            <w:vAlign w:val="bottom"/>
            <w:hideMark/>
          </w:tcPr>
          <w:p w14:paraId="351890F9"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2,065</w:t>
            </w:r>
          </w:p>
        </w:tc>
        <w:tc>
          <w:tcPr>
            <w:tcW w:w="681" w:type="dxa"/>
            <w:noWrap/>
            <w:hideMark/>
          </w:tcPr>
          <w:p w14:paraId="0A7E7461"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1,535</w:t>
            </w:r>
          </w:p>
        </w:tc>
        <w:tc>
          <w:tcPr>
            <w:tcW w:w="588" w:type="dxa"/>
            <w:noWrap/>
            <w:hideMark/>
          </w:tcPr>
          <w:p w14:paraId="30437180"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-308</w:t>
            </w:r>
          </w:p>
        </w:tc>
        <w:tc>
          <w:tcPr>
            <w:tcW w:w="632" w:type="dxa"/>
            <w:noWrap/>
            <w:hideMark/>
          </w:tcPr>
          <w:p w14:paraId="2666012F"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3,378</w:t>
            </w:r>
          </w:p>
        </w:tc>
        <w:tc>
          <w:tcPr>
            <w:tcW w:w="664" w:type="dxa"/>
            <w:noWrap/>
            <w:hideMark/>
          </w:tcPr>
          <w:p w14:paraId="32483F11"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788</w:t>
            </w:r>
          </w:p>
        </w:tc>
        <w:tc>
          <w:tcPr>
            <w:tcW w:w="556" w:type="dxa"/>
            <w:noWrap/>
            <w:hideMark/>
          </w:tcPr>
          <w:p w14:paraId="18A84499"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237</w:t>
            </w:r>
          </w:p>
        </w:tc>
        <w:tc>
          <w:tcPr>
            <w:tcW w:w="771" w:type="dxa"/>
            <w:noWrap/>
            <w:hideMark/>
          </w:tcPr>
          <w:p w14:paraId="0A5C57C2"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1,339</w:t>
            </w:r>
          </w:p>
        </w:tc>
        <w:tc>
          <w:tcPr>
            <w:tcW w:w="1035" w:type="dxa"/>
            <w:noWrap/>
            <w:hideMark/>
          </w:tcPr>
          <w:p w14:paraId="139F6D78"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2,648,090</w:t>
            </w:r>
          </w:p>
        </w:tc>
        <w:tc>
          <w:tcPr>
            <w:tcW w:w="1035" w:type="dxa"/>
            <w:noWrap/>
            <w:hideMark/>
          </w:tcPr>
          <w:p w14:paraId="66374CB7"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1,188,791</w:t>
            </w:r>
          </w:p>
        </w:tc>
        <w:tc>
          <w:tcPr>
            <w:tcW w:w="1051" w:type="dxa"/>
            <w:noWrap/>
            <w:hideMark/>
          </w:tcPr>
          <w:p w14:paraId="7286E431"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4,107,388</w:t>
            </w:r>
          </w:p>
        </w:tc>
        <w:tc>
          <w:tcPr>
            <w:tcW w:w="1035" w:type="dxa"/>
            <w:noWrap/>
            <w:hideMark/>
          </w:tcPr>
          <w:p w14:paraId="3BED123A"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752,984</w:t>
            </w:r>
          </w:p>
        </w:tc>
        <w:tc>
          <w:tcPr>
            <w:tcW w:w="898" w:type="dxa"/>
            <w:noWrap/>
            <w:hideMark/>
          </w:tcPr>
          <w:p w14:paraId="10E1209A"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304,483</w:t>
            </w:r>
          </w:p>
        </w:tc>
        <w:tc>
          <w:tcPr>
            <w:tcW w:w="1035" w:type="dxa"/>
            <w:noWrap/>
            <w:hideMark/>
          </w:tcPr>
          <w:p w14:paraId="27AC6C25"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1,201,484</w:t>
            </w:r>
          </w:p>
        </w:tc>
      </w:tr>
      <w:tr w:rsidR="00C327E5" w:rsidRPr="00CE304A" w14:paraId="6AC1A5F0" w14:textId="77777777" w:rsidTr="002B1D4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21" w:type="dxa"/>
            <w:noWrap/>
            <w:hideMark/>
          </w:tcPr>
          <w:p w14:paraId="2D748BC9" w14:textId="77777777" w:rsidR="00C327E5" w:rsidRPr="00C327E5" w:rsidRDefault="00C327E5" w:rsidP="00C327E5">
            <w:pPr>
              <w:pStyle w:val="NoSpacing1"/>
              <w:rPr>
                <w:b w:val="0"/>
                <w:sz w:val="18"/>
                <w:szCs w:val="18"/>
              </w:rPr>
            </w:pPr>
            <w:r w:rsidRPr="00C327E5">
              <w:rPr>
                <w:sz w:val="18"/>
                <w:szCs w:val="18"/>
              </w:rPr>
              <w:t>70</w:t>
            </w:r>
          </w:p>
        </w:tc>
        <w:tc>
          <w:tcPr>
            <w:tcW w:w="681" w:type="dxa"/>
            <w:noWrap/>
            <w:vAlign w:val="bottom"/>
            <w:hideMark/>
          </w:tcPr>
          <w:p w14:paraId="6B235D7B"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97</w:t>
            </w:r>
          </w:p>
        </w:tc>
        <w:tc>
          <w:tcPr>
            <w:tcW w:w="716" w:type="dxa"/>
            <w:noWrap/>
            <w:vAlign w:val="bottom"/>
            <w:hideMark/>
          </w:tcPr>
          <w:p w14:paraId="46C6321E"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48</w:t>
            </w:r>
          </w:p>
        </w:tc>
        <w:tc>
          <w:tcPr>
            <w:tcW w:w="660" w:type="dxa"/>
            <w:noWrap/>
            <w:vAlign w:val="bottom"/>
            <w:hideMark/>
          </w:tcPr>
          <w:p w14:paraId="3C7D7B3F"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145</w:t>
            </w:r>
          </w:p>
        </w:tc>
        <w:tc>
          <w:tcPr>
            <w:tcW w:w="681" w:type="dxa"/>
            <w:noWrap/>
            <w:hideMark/>
          </w:tcPr>
          <w:p w14:paraId="34EDEB44"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111</w:t>
            </w:r>
          </w:p>
        </w:tc>
        <w:tc>
          <w:tcPr>
            <w:tcW w:w="588" w:type="dxa"/>
            <w:noWrap/>
            <w:hideMark/>
          </w:tcPr>
          <w:p w14:paraId="26675F34"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-16</w:t>
            </w:r>
          </w:p>
        </w:tc>
        <w:tc>
          <w:tcPr>
            <w:tcW w:w="632" w:type="dxa"/>
            <w:noWrap/>
            <w:hideMark/>
          </w:tcPr>
          <w:p w14:paraId="66BC1D03"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237</w:t>
            </w:r>
          </w:p>
        </w:tc>
        <w:tc>
          <w:tcPr>
            <w:tcW w:w="664" w:type="dxa"/>
            <w:noWrap/>
            <w:hideMark/>
          </w:tcPr>
          <w:p w14:paraId="59B1F519"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57</w:t>
            </w:r>
          </w:p>
        </w:tc>
        <w:tc>
          <w:tcPr>
            <w:tcW w:w="556" w:type="dxa"/>
            <w:noWrap/>
            <w:hideMark/>
          </w:tcPr>
          <w:p w14:paraId="1B14A756"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16</w:t>
            </w:r>
          </w:p>
        </w:tc>
        <w:tc>
          <w:tcPr>
            <w:tcW w:w="771" w:type="dxa"/>
            <w:noWrap/>
            <w:hideMark/>
          </w:tcPr>
          <w:p w14:paraId="02644D43"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98</w:t>
            </w:r>
          </w:p>
        </w:tc>
        <w:tc>
          <w:tcPr>
            <w:tcW w:w="1035" w:type="dxa"/>
            <w:noWrap/>
            <w:hideMark/>
          </w:tcPr>
          <w:p w14:paraId="5CF4AD99"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194,477</w:t>
            </w:r>
          </w:p>
        </w:tc>
        <w:tc>
          <w:tcPr>
            <w:tcW w:w="1035" w:type="dxa"/>
            <w:noWrap/>
            <w:hideMark/>
          </w:tcPr>
          <w:p w14:paraId="31B4B182"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85,659</w:t>
            </w:r>
          </w:p>
        </w:tc>
        <w:tc>
          <w:tcPr>
            <w:tcW w:w="1051" w:type="dxa"/>
            <w:noWrap/>
            <w:hideMark/>
          </w:tcPr>
          <w:p w14:paraId="7C0A9A6B"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303,295</w:t>
            </w:r>
          </w:p>
        </w:tc>
        <w:tc>
          <w:tcPr>
            <w:tcW w:w="1035" w:type="dxa"/>
            <w:noWrap/>
            <w:hideMark/>
          </w:tcPr>
          <w:p w14:paraId="3DD3050A"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54,890</w:t>
            </w:r>
          </w:p>
        </w:tc>
        <w:tc>
          <w:tcPr>
            <w:tcW w:w="898" w:type="dxa"/>
            <w:noWrap/>
            <w:hideMark/>
          </w:tcPr>
          <w:p w14:paraId="6375285F"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22,216</w:t>
            </w:r>
          </w:p>
        </w:tc>
        <w:tc>
          <w:tcPr>
            <w:tcW w:w="1035" w:type="dxa"/>
            <w:noWrap/>
            <w:hideMark/>
          </w:tcPr>
          <w:p w14:paraId="209AB941"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87,563</w:t>
            </w:r>
          </w:p>
        </w:tc>
      </w:tr>
      <w:tr w:rsidR="00C327E5" w:rsidRPr="00CE304A" w14:paraId="6EE09282" w14:textId="77777777" w:rsidTr="002B1D44">
        <w:trPr>
          <w:trHeight w:val="245"/>
        </w:trPr>
        <w:tc>
          <w:tcPr>
            <w:cnfStyle w:val="001000000000" w:firstRow="0" w:lastRow="0" w:firstColumn="1" w:lastColumn="0" w:oddVBand="0" w:evenVBand="0" w:oddHBand="0" w:evenHBand="0" w:firstRowFirstColumn="0" w:firstRowLastColumn="0" w:lastRowFirstColumn="0" w:lastRowLastColumn="0"/>
            <w:tcW w:w="621" w:type="dxa"/>
            <w:noWrap/>
            <w:hideMark/>
          </w:tcPr>
          <w:p w14:paraId="2207D24A" w14:textId="77777777" w:rsidR="00C327E5" w:rsidRPr="00C327E5" w:rsidRDefault="00C327E5" w:rsidP="00C327E5">
            <w:pPr>
              <w:pStyle w:val="NoSpacing1"/>
              <w:rPr>
                <w:b w:val="0"/>
                <w:bCs/>
                <w:sz w:val="18"/>
                <w:szCs w:val="18"/>
              </w:rPr>
            </w:pPr>
            <w:r w:rsidRPr="00C327E5">
              <w:rPr>
                <w:bCs/>
                <w:sz w:val="18"/>
                <w:szCs w:val="18"/>
              </w:rPr>
              <w:t>2015</w:t>
            </w:r>
          </w:p>
        </w:tc>
        <w:tc>
          <w:tcPr>
            <w:tcW w:w="681" w:type="dxa"/>
            <w:noWrap/>
            <w:vAlign w:val="bottom"/>
            <w:hideMark/>
          </w:tcPr>
          <w:p w14:paraId="211B1C27"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716" w:type="dxa"/>
            <w:noWrap/>
            <w:vAlign w:val="bottom"/>
            <w:hideMark/>
          </w:tcPr>
          <w:p w14:paraId="2813D1A5"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660" w:type="dxa"/>
            <w:noWrap/>
            <w:vAlign w:val="bottom"/>
            <w:hideMark/>
          </w:tcPr>
          <w:p w14:paraId="1B5E79BD"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681" w:type="dxa"/>
            <w:noWrap/>
            <w:hideMark/>
          </w:tcPr>
          <w:p w14:paraId="1271167D"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588" w:type="dxa"/>
            <w:noWrap/>
            <w:hideMark/>
          </w:tcPr>
          <w:p w14:paraId="1778702F"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632" w:type="dxa"/>
            <w:noWrap/>
            <w:hideMark/>
          </w:tcPr>
          <w:p w14:paraId="02748C73"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664" w:type="dxa"/>
            <w:noWrap/>
            <w:hideMark/>
          </w:tcPr>
          <w:p w14:paraId="4C3CD54B"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556" w:type="dxa"/>
            <w:noWrap/>
            <w:hideMark/>
          </w:tcPr>
          <w:p w14:paraId="54CF7CF5"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771" w:type="dxa"/>
            <w:noWrap/>
            <w:hideMark/>
          </w:tcPr>
          <w:p w14:paraId="36F9A443"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1035" w:type="dxa"/>
            <w:noWrap/>
            <w:hideMark/>
          </w:tcPr>
          <w:p w14:paraId="221F6F57"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1035" w:type="dxa"/>
            <w:noWrap/>
            <w:hideMark/>
          </w:tcPr>
          <w:p w14:paraId="2AFF1DA5"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1051" w:type="dxa"/>
            <w:noWrap/>
            <w:hideMark/>
          </w:tcPr>
          <w:p w14:paraId="18210FE5"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1035" w:type="dxa"/>
            <w:noWrap/>
            <w:hideMark/>
          </w:tcPr>
          <w:p w14:paraId="476B8C92"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898" w:type="dxa"/>
            <w:noWrap/>
            <w:hideMark/>
          </w:tcPr>
          <w:p w14:paraId="03FCA8B7"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1035" w:type="dxa"/>
            <w:noWrap/>
            <w:hideMark/>
          </w:tcPr>
          <w:p w14:paraId="0EE128A2"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r>
      <w:tr w:rsidR="00C327E5" w:rsidRPr="00CE304A" w14:paraId="5AA60479" w14:textId="77777777" w:rsidTr="002B1D4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21" w:type="dxa"/>
            <w:noWrap/>
            <w:hideMark/>
          </w:tcPr>
          <w:p w14:paraId="38618641" w14:textId="77777777" w:rsidR="00C327E5" w:rsidRPr="00C327E5" w:rsidRDefault="00C327E5" w:rsidP="00C327E5">
            <w:pPr>
              <w:pStyle w:val="NoSpacing1"/>
              <w:rPr>
                <w:b w:val="0"/>
                <w:sz w:val="18"/>
                <w:szCs w:val="18"/>
              </w:rPr>
            </w:pPr>
            <w:r w:rsidRPr="00C327E5">
              <w:rPr>
                <w:sz w:val="18"/>
                <w:szCs w:val="18"/>
              </w:rPr>
              <w:t>40</w:t>
            </w:r>
          </w:p>
        </w:tc>
        <w:tc>
          <w:tcPr>
            <w:tcW w:w="681" w:type="dxa"/>
            <w:noWrap/>
            <w:vAlign w:val="bottom"/>
            <w:hideMark/>
          </w:tcPr>
          <w:p w14:paraId="10683D5D"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2,642</w:t>
            </w:r>
          </w:p>
        </w:tc>
        <w:tc>
          <w:tcPr>
            <w:tcW w:w="716" w:type="dxa"/>
            <w:noWrap/>
            <w:vAlign w:val="bottom"/>
            <w:hideMark/>
          </w:tcPr>
          <w:p w14:paraId="0A06D2C9"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1,331</w:t>
            </w:r>
          </w:p>
        </w:tc>
        <w:tc>
          <w:tcPr>
            <w:tcW w:w="660" w:type="dxa"/>
            <w:noWrap/>
            <w:vAlign w:val="bottom"/>
            <w:hideMark/>
          </w:tcPr>
          <w:p w14:paraId="42D10CC3"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3,953</w:t>
            </w:r>
          </w:p>
        </w:tc>
        <w:tc>
          <w:tcPr>
            <w:tcW w:w="681" w:type="dxa"/>
            <w:noWrap/>
            <w:hideMark/>
          </w:tcPr>
          <w:p w14:paraId="68E360F7"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2,601</w:t>
            </w:r>
          </w:p>
        </w:tc>
        <w:tc>
          <w:tcPr>
            <w:tcW w:w="588" w:type="dxa"/>
            <w:noWrap/>
            <w:hideMark/>
          </w:tcPr>
          <w:p w14:paraId="760BD28C"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-511</w:t>
            </w:r>
          </w:p>
        </w:tc>
        <w:tc>
          <w:tcPr>
            <w:tcW w:w="632" w:type="dxa"/>
            <w:noWrap/>
            <w:hideMark/>
          </w:tcPr>
          <w:p w14:paraId="3E993780"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5,713</w:t>
            </w:r>
          </w:p>
        </w:tc>
        <w:tc>
          <w:tcPr>
            <w:tcW w:w="664" w:type="dxa"/>
            <w:noWrap/>
            <w:hideMark/>
          </w:tcPr>
          <w:p w14:paraId="16F3000C"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1,489</w:t>
            </w:r>
          </w:p>
        </w:tc>
        <w:tc>
          <w:tcPr>
            <w:tcW w:w="556" w:type="dxa"/>
            <w:noWrap/>
            <w:hideMark/>
          </w:tcPr>
          <w:p w14:paraId="035577F9"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449</w:t>
            </w:r>
          </w:p>
        </w:tc>
        <w:tc>
          <w:tcPr>
            <w:tcW w:w="771" w:type="dxa"/>
            <w:noWrap/>
            <w:hideMark/>
          </w:tcPr>
          <w:p w14:paraId="00E833FF"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2,530</w:t>
            </w:r>
          </w:p>
        </w:tc>
        <w:tc>
          <w:tcPr>
            <w:tcW w:w="1035" w:type="dxa"/>
            <w:noWrap/>
            <w:hideMark/>
          </w:tcPr>
          <w:p w14:paraId="671F7B60"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4,747,440</w:t>
            </w:r>
          </w:p>
        </w:tc>
        <w:tc>
          <w:tcPr>
            <w:tcW w:w="1035" w:type="dxa"/>
            <w:noWrap/>
            <w:hideMark/>
          </w:tcPr>
          <w:p w14:paraId="3DCD057E"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2,164,519</w:t>
            </w:r>
          </w:p>
        </w:tc>
        <w:tc>
          <w:tcPr>
            <w:tcW w:w="1051" w:type="dxa"/>
            <w:noWrap/>
            <w:hideMark/>
          </w:tcPr>
          <w:p w14:paraId="7D587C20"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7,330,360</w:t>
            </w:r>
          </w:p>
        </w:tc>
        <w:tc>
          <w:tcPr>
            <w:tcW w:w="1035" w:type="dxa"/>
            <w:noWrap/>
            <w:hideMark/>
          </w:tcPr>
          <w:p w14:paraId="469ED129"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1,374,614</w:t>
            </w:r>
          </w:p>
        </w:tc>
        <w:tc>
          <w:tcPr>
            <w:tcW w:w="898" w:type="dxa"/>
            <w:noWrap/>
            <w:hideMark/>
          </w:tcPr>
          <w:p w14:paraId="55CADD59"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485,734</w:t>
            </w:r>
          </w:p>
        </w:tc>
        <w:tc>
          <w:tcPr>
            <w:tcW w:w="1035" w:type="dxa"/>
            <w:noWrap/>
            <w:hideMark/>
          </w:tcPr>
          <w:p w14:paraId="629A75CC"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2,263,494</w:t>
            </w:r>
          </w:p>
        </w:tc>
      </w:tr>
      <w:tr w:rsidR="00C327E5" w:rsidRPr="00CE304A" w14:paraId="3735CA5E" w14:textId="77777777" w:rsidTr="002B1D44">
        <w:trPr>
          <w:trHeight w:val="245"/>
        </w:trPr>
        <w:tc>
          <w:tcPr>
            <w:cnfStyle w:val="001000000000" w:firstRow="0" w:lastRow="0" w:firstColumn="1" w:lastColumn="0" w:oddVBand="0" w:evenVBand="0" w:oddHBand="0" w:evenHBand="0" w:firstRowFirstColumn="0" w:firstRowLastColumn="0" w:lastRowFirstColumn="0" w:lastRowLastColumn="0"/>
            <w:tcW w:w="621" w:type="dxa"/>
            <w:noWrap/>
            <w:hideMark/>
          </w:tcPr>
          <w:p w14:paraId="2E068F58" w14:textId="77777777" w:rsidR="00C327E5" w:rsidRPr="00C327E5" w:rsidRDefault="00C327E5" w:rsidP="00C327E5">
            <w:pPr>
              <w:pStyle w:val="NoSpacing1"/>
              <w:rPr>
                <w:b w:val="0"/>
                <w:sz w:val="18"/>
                <w:szCs w:val="18"/>
              </w:rPr>
            </w:pPr>
            <w:r w:rsidRPr="00C327E5">
              <w:rPr>
                <w:sz w:val="18"/>
                <w:szCs w:val="18"/>
              </w:rPr>
              <w:t>65</w:t>
            </w:r>
          </w:p>
        </w:tc>
        <w:tc>
          <w:tcPr>
            <w:tcW w:w="681" w:type="dxa"/>
            <w:noWrap/>
            <w:vAlign w:val="bottom"/>
            <w:hideMark/>
          </w:tcPr>
          <w:p w14:paraId="4CB5E056"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2,142</w:t>
            </w:r>
          </w:p>
        </w:tc>
        <w:tc>
          <w:tcPr>
            <w:tcW w:w="716" w:type="dxa"/>
            <w:noWrap/>
            <w:vAlign w:val="bottom"/>
            <w:hideMark/>
          </w:tcPr>
          <w:p w14:paraId="786C1403"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1,076</w:t>
            </w:r>
          </w:p>
        </w:tc>
        <w:tc>
          <w:tcPr>
            <w:tcW w:w="660" w:type="dxa"/>
            <w:noWrap/>
            <w:vAlign w:val="bottom"/>
            <w:hideMark/>
          </w:tcPr>
          <w:p w14:paraId="6548AFF2"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3,207</w:t>
            </w:r>
          </w:p>
        </w:tc>
        <w:tc>
          <w:tcPr>
            <w:tcW w:w="681" w:type="dxa"/>
            <w:noWrap/>
            <w:hideMark/>
          </w:tcPr>
          <w:p w14:paraId="3092D6AB"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2,164</w:t>
            </w:r>
          </w:p>
        </w:tc>
        <w:tc>
          <w:tcPr>
            <w:tcW w:w="588" w:type="dxa"/>
            <w:noWrap/>
            <w:hideMark/>
          </w:tcPr>
          <w:p w14:paraId="0C422C5A"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-432</w:t>
            </w:r>
          </w:p>
        </w:tc>
        <w:tc>
          <w:tcPr>
            <w:tcW w:w="632" w:type="dxa"/>
            <w:noWrap/>
            <w:hideMark/>
          </w:tcPr>
          <w:p w14:paraId="61AC1E15"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4,760</w:t>
            </w:r>
          </w:p>
        </w:tc>
        <w:tc>
          <w:tcPr>
            <w:tcW w:w="664" w:type="dxa"/>
            <w:noWrap/>
            <w:hideMark/>
          </w:tcPr>
          <w:p w14:paraId="230AFDF9"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1,205</w:t>
            </w:r>
          </w:p>
        </w:tc>
        <w:tc>
          <w:tcPr>
            <w:tcW w:w="556" w:type="dxa"/>
            <w:noWrap/>
            <w:hideMark/>
          </w:tcPr>
          <w:p w14:paraId="77BDF3F9"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367</w:t>
            </w:r>
          </w:p>
        </w:tc>
        <w:tc>
          <w:tcPr>
            <w:tcW w:w="771" w:type="dxa"/>
            <w:noWrap/>
            <w:hideMark/>
          </w:tcPr>
          <w:p w14:paraId="4D459257"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2,043</w:t>
            </w:r>
          </w:p>
        </w:tc>
        <w:tc>
          <w:tcPr>
            <w:tcW w:w="1035" w:type="dxa"/>
            <w:noWrap/>
            <w:hideMark/>
          </w:tcPr>
          <w:p w14:paraId="010BE941"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3,877,164</w:t>
            </w:r>
          </w:p>
        </w:tc>
        <w:tc>
          <w:tcPr>
            <w:tcW w:w="1035" w:type="dxa"/>
            <w:noWrap/>
            <w:hideMark/>
          </w:tcPr>
          <w:p w14:paraId="41000754"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1,748,947</w:t>
            </w:r>
          </w:p>
        </w:tc>
        <w:tc>
          <w:tcPr>
            <w:tcW w:w="1051" w:type="dxa"/>
            <w:noWrap/>
            <w:hideMark/>
          </w:tcPr>
          <w:p w14:paraId="3925FB82"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6,005,381</w:t>
            </w:r>
          </w:p>
        </w:tc>
        <w:tc>
          <w:tcPr>
            <w:tcW w:w="1035" w:type="dxa"/>
            <w:noWrap/>
            <w:hideMark/>
          </w:tcPr>
          <w:p w14:paraId="012E6EF1"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1,098,322</w:t>
            </w:r>
          </w:p>
        </w:tc>
        <w:tc>
          <w:tcPr>
            <w:tcW w:w="898" w:type="dxa"/>
            <w:noWrap/>
            <w:hideMark/>
          </w:tcPr>
          <w:p w14:paraId="6D62B651"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444,039</w:t>
            </w:r>
          </w:p>
        </w:tc>
        <w:tc>
          <w:tcPr>
            <w:tcW w:w="1035" w:type="dxa"/>
            <w:noWrap/>
            <w:hideMark/>
          </w:tcPr>
          <w:p w14:paraId="7EF9260D"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1,752,605</w:t>
            </w:r>
          </w:p>
        </w:tc>
      </w:tr>
      <w:tr w:rsidR="00C327E5" w:rsidRPr="00CE304A" w14:paraId="2510DF9E" w14:textId="77777777" w:rsidTr="002B1D4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21" w:type="dxa"/>
            <w:noWrap/>
            <w:hideMark/>
          </w:tcPr>
          <w:p w14:paraId="25A1458D" w14:textId="77777777" w:rsidR="00C327E5" w:rsidRPr="00C327E5" w:rsidRDefault="00C327E5" w:rsidP="00C327E5">
            <w:pPr>
              <w:pStyle w:val="NoSpacing1"/>
              <w:rPr>
                <w:b w:val="0"/>
                <w:sz w:val="18"/>
                <w:szCs w:val="18"/>
              </w:rPr>
            </w:pPr>
            <w:r w:rsidRPr="00C327E5">
              <w:rPr>
                <w:sz w:val="18"/>
                <w:szCs w:val="18"/>
              </w:rPr>
              <w:t>70</w:t>
            </w:r>
          </w:p>
        </w:tc>
        <w:tc>
          <w:tcPr>
            <w:tcW w:w="681" w:type="dxa"/>
            <w:noWrap/>
            <w:vAlign w:val="bottom"/>
            <w:hideMark/>
          </w:tcPr>
          <w:p w14:paraId="36F5FE0D"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1,716</w:t>
            </w:r>
          </w:p>
        </w:tc>
        <w:tc>
          <w:tcPr>
            <w:tcW w:w="716" w:type="dxa"/>
            <w:noWrap/>
            <w:vAlign w:val="bottom"/>
            <w:hideMark/>
          </w:tcPr>
          <w:p w14:paraId="16200BAC"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862</w:t>
            </w:r>
          </w:p>
        </w:tc>
        <w:tc>
          <w:tcPr>
            <w:tcW w:w="660" w:type="dxa"/>
            <w:noWrap/>
            <w:vAlign w:val="bottom"/>
            <w:hideMark/>
          </w:tcPr>
          <w:p w14:paraId="666C7BE1"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2,570</w:t>
            </w:r>
          </w:p>
        </w:tc>
        <w:tc>
          <w:tcPr>
            <w:tcW w:w="681" w:type="dxa"/>
            <w:noWrap/>
            <w:hideMark/>
          </w:tcPr>
          <w:p w14:paraId="6AD961FE"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1,928</w:t>
            </w:r>
          </w:p>
        </w:tc>
        <w:tc>
          <w:tcPr>
            <w:tcW w:w="588" w:type="dxa"/>
            <w:noWrap/>
            <w:hideMark/>
          </w:tcPr>
          <w:p w14:paraId="309145C2"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-384</w:t>
            </w:r>
          </w:p>
        </w:tc>
        <w:tc>
          <w:tcPr>
            <w:tcW w:w="632" w:type="dxa"/>
            <w:noWrap/>
            <w:hideMark/>
          </w:tcPr>
          <w:p w14:paraId="502E0050"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4,240</w:t>
            </w:r>
          </w:p>
        </w:tc>
        <w:tc>
          <w:tcPr>
            <w:tcW w:w="664" w:type="dxa"/>
            <w:noWrap/>
            <w:hideMark/>
          </w:tcPr>
          <w:p w14:paraId="0FCED8EE"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978</w:t>
            </w:r>
          </w:p>
        </w:tc>
        <w:tc>
          <w:tcPr>
            <w:tcW w:w="556" w:type="dxa"/>
            <w:noWrap/>
            <w:hideMark/>
          </w:tcPr>
          <w:p w14:paraId="0D64CA1A"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299</w:t>
            </w:r>
          </w:p>
        </w:tc>
        <w:tc>
          <w:tcPr>
            <w:tcW w:w="771" w:type="dxa"/>
            <w:noWrap/>
            <w:hideMark/>
          </w:tcPr>
          <w:p w14:paraId="6EA9FE4A"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1,657</w:t>
            </w:r>
          </w:p>
        </w:tc>
        <w:tc>
          <w:tcPr>
            <w:tcW w:w="1035" w:type="dxa"/>
            <w:noWrap/>
            <w:hideMark/>
          </w:tcPr>
          <w:p w14:paraId="0A8D5B97"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3,299,106</w:t>
            </w:r>
          </w:p>
        </w:tc>
        <w:tc>
          <w:tcPr>
            <w:tcW w:w="1035" w:type="dxa"/>
            <w:noWrap/>
            <w:hideMark/>
          </w:tcPr>
          <w:p w14:paraId="6BFF6953"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1,489,185</w:t>
            </w:r>
          </w:p>
        </w:tc>
        <w:tc>
          <w:tcPr>
            <w:tcW w:w="1051" w:type="dxa"/>
            <w:noWrap/>
            <w:hideMark/>
          </w:tcPr>
          <w:p w14:paraId="40787B34"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5,109,027</w:t>
            </w:r>
          </w:p>
        </w:tc>
        <w:tc>
          <w:tcPr>
            <w:tcW w:w="1035" w:type="dxa"/>
            <w:noWrap/>
            <w:hideMark/>
          </w:tcPr>
          <w:p w14:paraId="691B6303"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928,840</w:t>
            </w:r>
          </w:p>
        </w:tc>
        <w:tc>
          <w:tcPr>
            <w:tcW w:w="898" w:type="dxa"/>
            <w:noWrap/>
            <w:hideMark/>
          </w:tcPr>
          <w:p w14:paraId="5AB26439"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375,517</w:t>
            </w:r>
          </w:p>
        </w:tc>
        <w:tc>
          <w:tcPr>
            <w:tcW w:w="1035" w:type="dxa"/>
            <w:noWrap/>
            <w:hideMark/>
          </w:tcPr>
          <w:p w14:paraId="08BBBB66"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1,482,164</w:t>
            </w:r>
          </w:p>
        </w:tc>
      </w:tr>
      <w:tr w:rsidR="00C327E5" w:rsidRPr="00CE304A" w14:paraId="06E95D91" w14:textId="77777777" w:rsidTr="002B1D44">
        <w:trPr>
          <w:trHeight w:val="245"/>
        </w:trPr>
        <w:tc>
          <w:tcPr>
            <w:cnfStyle w:val="001000000000" w:firstRow="0" w:lastRow="0" w:firstColumn="1" w:lastColumn="0" w:oddVBand="0" w:evenVBand="0" w:oddHBand="0" w:evenHBand="0" w:firstRowFirstColumn="0" w:firstRowLastColumn="0" w:lastRowFirstColumn="0" w:lastRowLastColumn="0"/>
            <w:tcW w:w="621" w:type="dxa"/>
            <w:noWrap/>
            <w:hideMark/>
          </w:tcPr>
          <w:p w14:paraId="135F86A5" w14:textId="77777777" w:rsidR="00C327E5" w:rsidRPr="00C327E5" w:rsidRDefault="00C327E5" w:rsidP="00C327E5">
            <w:pPr>
              <w:pStyle w:val="NoSpacing1"/>
              <w:rPr>
                <w:b w:val="0"/>
                <w:bCs/>
                <w:sz w:val="18"/>
                <w:szCs w:val="18"/>
              </w:rPr>
            </w:pPr>
            <w:r w:rsidRPr="00C327E5">
              <w:rPr>
                <w:bCs/>
                <w:sz w:val="18"/>
                <w:szCs w:val="18"/>
              </w:rPr>
              <w:t>2016</w:t>
            </w:r>
          </w:p>
        </w:tc>
        <w:tc>
          <w:tcPr>
            <w:tcW w:w="681" w:type="dxa"/>
            <w:noWrap/>
            <w:vAlign w:val="bottom"/>
            <w:hideMark/>
          </w:tcPr>
          <w:p w14:paraId="52BD1E0A"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716" w:type="dxa"/>
            <w:noWrap/>
            <w:vAlign w:val="bottom"/>
            <w:hideMark/>
          </w:tcPr>
          <w:p w14:paraId="3C364504"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660" w:type="dxa"/>
            <w:noWrap/>
            <w:vAlign w:val="bottom"/>
            <w:hideMark/>
          </w:tcPr>
          <w:p w14:paraId="09028D10"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681" w:type="dxa"/>
            <w:noWrap/>
            <w:hideMark/>
          </w:tcPr>
          <w:p w14:paraId="41EA53C9"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588" w:type="dxa"/>
            <w:noWrap/>
            <w:hideMark/>
          </w:tcPr>
          <w:p w14:paraId="559D2FF8"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632" w:type="dxa"/>
            <w:noWrap/>
            <w:hideMark/>
          </w:tcPr>
          <w:p w14:paraId="0A4610CB"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664" w:type="dxa"/>
            <w:noWrap/>
            <w:hideMark/>
          </w:tcPr>
          <w:p w14:paraId="3CFEEB1A"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556" w:type="dxa"/>
            <w:noWrap/>
            <w:hideMark/>
          </w:tcPr>
          <w:p w14:paraId="1A8E167F"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771" w:type="dxa"/>
            <w:noWrap/>
            <w:hideMark/>
          </w:tcPr>
          <w:p w14:paraId="5801B5A4"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1035" w:type="dxa"/>
            <w:noWrap/>
            <w:hideMark/>
          </w:tcPr>
          <w:p w14:paraId="54A2348F"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1035" w:type="dxa"/>
            <w:noWrap/>
            <w:hideMark/>
          </w:tcPr>
          <w:p w14:paraId="6DC745F0"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1051" w:type="dxa"/>
            <w:noWrap/>
            <w:hideMark/>
          </w:tcPr>
          <w:p w14:paraId="10D2E8EC"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1035" w:type="dxa"/>
            <w:noWrap/>
            <w:hideMark/>
          </w:tcPr>
          <w:p w14:paraId="063E6C65"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898" w:type="dxa"/>
            <w:noWrap/>
            <w:hideMark/>
          </w:tcPr>
          <w:p w14:paraId="23D11D2F"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1035" w:type="dxa"/>
            <w:noWrap/>
            <w:hideMark/>
          </w:tcPr>
          <w:p w14:paraId="28595A49"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r>
      <w:tr w:rsidR="00C327E5" w:rsidRPr="00CE304A" w14:paraId="2B9A1787" w14:textId="77777777" w:rsidTr="002B1D4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21" w:type="dxa"/>
            <w:noWrap/>
            <w:hideMark/>
          </w:tcPr>
          <w:p w14:paraId="41B73C3F" w14:textId="77777777" w:rsidR="00C327E5" w:rsidRPr="00C327E5" w:rsidRDefault="00C327E5" w:rsidP="00C327E5">
            <w:pPr>
              <w:pStyle w:val="NoSpacing1"/>
              <w:rPr>
                <w:b w:val="0"/>
                <w:sz w:val="18"/>
                <w:szCs w:val="18"/>
              </w:rPr>
            </w:pPr>
            <w:r w:rsidRPr="00C327E5">
              <w:rPr>
                <w:sz w:val="18"/>
                <w:szCs w:val="18"/>
              </w:rPr>
              <w:t>40</w:t>
            </w:r>
          </w:p>
        </w:tc>
        <w:tc>
          <w:tcPr>
            <w:tcW w:w="681" w:type="dxa"/>
            <w:noWrap/>
            <w:vAlign w:val="bottom"/>
            <w:hideMark/>
          </w:tcPr>
          <w:p w14:paraId="2D8F1C0C"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2,620</w:t>
            </w:r>
          </w:p>
        </w:tc>
        <w:tc>
          <w:tcPr>
            <w:tcW w:w="716" w:type="dxa"/>
            <w:noWrap/>
            <w:vAlign w:val="bottom"/>
            <w:hideMark/>
          </w:tcPr>
          <w:p w14:paraId="6633C60F"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1,317</w:t>
            </w:r>
          </w:p>
        </w:tc>
        <w:tc>
          <w:tcPr>
            <w:tcW w:w="660" w:type="dxa"/>
            <w:noWrap/>
            <w:vAlign w:val="bottom"/>
            <w:hideMark/>
          </w:tcPr>
          <w:p w14:paraId="6B421526"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3,923</w:t>
            </w:r>
          </w:p>
        </w:tc>
        <w:tc>
          <w:tcPr>
            <w:tcW w:w="681" w:type="dxa"/>
            <w:noWrap/>
            <w:hideMark/>
          </w:tcPr>
          <w:p w14:paraId="61323BA1"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2,545</w:t>
            </w:r>
          </w:p>
        </w:tc>
        <w:tc>
          <w:tcPr>
            <w:tcW w:w="588" w:type="dxa"/>
            <w:noWrap/>
            <w:hideMark/>
          </w:tcPr>
          <w:p w14:paraId="5F266DD2"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-506</w:t>
            </w:r>
          </w:p>
        </w:tc>
        <w:tc>
          <w:tcPr>
            <w:tcW w:w="632" w:type="dxa"/>
            <w:noWrap/>
            <w:hideMark/>
          </w:tcPr>
          <w:p w14:paraId="6050056D"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5,595</w:t>
            </w:r>
          </w:p>
        </w:tc>
        <w:tc>
          <w:tcPr>
            <w:tcW w:w="664" w:type="dxa"/>
            <w:noWrap/>
            <w:hideMark/>
          </w:tcPr>
          <w:p w14:paraId="78ED1543"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1,501</w:t>
            </w:r>
          </w:p>
        </w:tc>
        <w:tc>
          <w:tcPr>
            <w:tcW w:w="556" w:type="dxa"/>
            <w:noWrap/>
            <w:hideMark/>
          </w:tcPr>
          <w:p w14:paraId="3A55B668"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446</w:t>
            </w:r>
          </w:p>
        </w:tc>
        <w:tc>
          <w:tcPr>
            <w:tcW w:w="771" w:type="dxa"/>
            <w:noWrap/>
            <w:hideMark/>
          </w:tcPr>
          <w:p w14:paraId="0543926B"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2,557</w:t>
            </w:r>
          </w:p>
        </w:tc>
        <w:tc>
          <w:tcPr>
            <w:tcW w:w="1035" w:type="dxa"/>
            <w:noWrap/>
            <w:hideMark/>
          </w:tcPr>
          <w:p w14:paraId="0C54D629"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4,677,157</w:t>
            </w:r>
          </w:p>
        </w:tc>
        <w:tc>
          <w:tcPr>
            <w:tcW w:w="1035" w:type="dxa"/>
            <w:noWrap/>
            <w:hideMark/>
          </w:tcPr>
          <w:p w14:paraId="2DA89AB8"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2,115,095</w:t>
            </w:r>
          </w:p>
        </w:tc>
        <w:tc>
          <w:tcPr>
            <w:tcW w:w="1051" w:type="dxa"/>
            <w:noWrap/>
            <w:hideMark/>
          </w:tcPr>
          <w:p w14:paraId="384444AF"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7,239,219</w:t>
            </w:r>
          </w:p>
        </w:tc>
        <w:tc>
          <w:tcPr>
            <w:tcW w:w="1035" w:type="dxa"/>
            <w:noWrap/>
            <w:hideMark/>
          </w:tcPr>
          <w:p w14:paraId="2E0BBE20"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1,311,394</w:t>
            </w:r>
          </w:p>
        </w:tc>
        <w:tc>
          <w:tcPr>
            <w:tcW w:w="898" w:type="dxa"/>
            <w:noWrap/>
            <w:hideMark/>
          </w:tcPr>
          <w:p w14:paraId="13898F38"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530,069</w:t>
            </w:r>
          </w:p>
        </w:tc>
        <w:tc>
          <w:tcPr>
            <w:tcW w:w="1035" w:type="dxa"/>
            <w:noWrap/>
            <w:hideMark/>
          </w:tcPr>
          <w:p w14:paraId="1F4816A9"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2,092,719</w:t>
            </w:r>
          </w:p>
        </w:tc>
      </w:tr>
      <w:tr w:rsidR="00C327E5" w:rsidRPr="00CE304A" w14:paraId="06816B9B" w14:textId="77777777" w:rsidTr="002B1D44">
        <w:trPr>
          <w:trHeight w:val="245"/>
        </w:trPr>
        <w:tc>
          <w:tcPr>
            <w:cnfStyle w:val="001000000000" w:firstRow="0" w:lastRow="0" w:firstColumn="1" w:lastColumn="0" w:oddVBand="0" w:evenVBand="0" w:oddHBand="0" w:evenHBand="0" w:firstRowFirstColumn="0" w:firstRowLastColumn="0" w:lastRowFirstColumn="0" w:lastRowLastColumn="0"/>
            <w:tcW w:w="621" w:type="dxa"/>
            <w:noWrap/>
            <w:hideMark/>
          </w:tcPr>
          <w:p w14:paraId="5185707B" w14:textId="77777777" w:rsidR="00C327E5" w:rsidRPr="00C327E5" w:rsidRDefault="00C327E5" w:rsidP="00C327E5">
            <w:pPr>
              <w:pStyle w:val="NoSpacing1"/>
              <w:rPr>
                <w:b w:val="0"/>
                <w:sz w:val="18"/>
                <w:szCs w:val="18"/>
              </w:rPr>
            </w:pPr>
            <w:r w:rsidRPr="00C327E5">
              <w:rPr>
                <w:sz w:val="18"/>
                <w:szCs w:val="18"/>
              </w:rPr>
              <w:t>65</w:t>
            </w:r>
          </w:p>
        </w:tc>
        <w:tc>
          <w:tcPr>
            <w:tcW w:w="681" w:type="dxa"/>
            <w:noWrap/>
            <w:vAlign w:val="bottom"/>
            <w:hideMark/>
          </w:tcPr>
          <w:p w14:paraId="073901BE"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2,266</w:t>
            </w:r>
          </w:p>
        </w:tc>
        <w:tc>
          <w:tcPr>
            <w:tcW w:w="716" w:type="dxa"/>
            <w:noWrap/>
            <w:vAlign w:val="bottom"/>
            <w:hideMark/>
          </w:tcPr>
          <w:p w14:paraId="31048E72"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1,139</w:t>
            </w:r>
          </w:p>
        </w:tc>
        <w:tc>
          <w:tcPr>
            <w:tcW w:w="660" w:type="dxa"/>
            <w:noWrap/>
            <w:vAlign w:val="bottom"/>
            <w:hideMark/>
          </w:tcPr>
          <w:p w14:paraId="16D97CA4"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3,394</w:t>
            </w:r>
          </w:p>
        </w:tc>
        <w:tc>
          <w:tcPr>
            <w:tcW w:w="681" w:type="dxa"/>
            <w:noWrap/>
            <w:hideMark/>
          </w:tcPr>
          <w:p w14:paraId="308F4F29"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2,276</w:t>
            </w:r>
          </w:p>
        </w:tc>
        <w:tc>
          <w:tcPr>
            <w:tcW w:w="588" w:type="dxa"/>
            <w:noWrap/>
            <w:hideMark/>
          </w:tcPr>
          <w:p w14:paraId="04DC987D"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-454</w:t>
            </w:r>
          </w:p>
        </w:tc>
        <w:tc>
          <w:tcPr>
            <w:tcW w:w="632" w:type="dxa"/>
            <w:noWrap/>
            <w:hideMark/>
          </w:tcPr>
          <w:p w14:paraId="1DD2968E"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5,006</w:t>
            </w:r>
          </w:p>
        </w:tc>
        <w:tc>
          <w:tcPr>
            <w:tcW w:w="664" w:type="dxa"/>
            <w:noWrap/>
            <w:hideMark/>
          </w:tcPr>
          <w:p w14:paraId="32E68055"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1,294</w:t>
            </w:r>
          </w:p>
        </w:tc>
        <w:tc>
          <w:tcPr>
            <w:tcW w:w="556" w:type="dxa"/>
            <w:noWrap/>
            <w:hideMark/>
          </w:tcPr>
          <w:p w14:paraId="4FD5FFF0"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384</w:t>
            </w:r>
          </w:p>
        </w:tc>
        <w:tc>
          <w:tcPr>
            <w:tcW w:w="771" w:type="dxa"/>
            <w:noWrap/>
            <w:hideMark/>
          </w:tcPr>
          <w:p w14:paraId="5FC889D4"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2,204</w:t>
            </w:r>
          </w:p>
        </w:tc>
        <w:tc>
          <w:tcPr>
            <w:tcW w:w="1035" w:type="dxa"/>
            <w:noWrap/>
            <w:hideMark/>
          </w:tcPr>
          <w:p w14:paraId="2B5C7C95"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4,099,376</w:t>
            </w:r>
          </w:p>
        </w:tc>
        <w:tc>
          <w:tcPr>
            <w:tcW w:w="1035" w:type="dxa"/>
            <w:noWrap/>
            <w:hideMark/>
          </w:tcPr>
          <w:p w14:paraId="16242F8E"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1,849,093</w:t>
            </w:r>
          </w:p>
        </w:tc>
        <w:tc>
          <w:tcPr>
            <w:tcW w:w="1051" w:type="dxa"/>
            <w:noWrap/>
            <w:hideMark/>
          </w:tcPr>
          <w:p w14:paraId="054122BF"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6,349,658</w:t>
            </w:r>
          </w:p>
        </w:tc>
        <w:tc>
          <w:tcPr>
            <w:tcW w:w="1035" w:type="dxa"/>
            <w:noWrap/>
            <w:hideMark/>
          </w:tcPr>
          <w:p w14:paraId="2EDEA9CB"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1,147,950</w:t>
            </w:r>
          </w:p>
        </w:tc>
        <w:tc>
          <w:tcPr>
            <w:tcW w:w="898" w:type="dxa"/>
            <w:noWrap/>
            <w:hideMark/>
          </w:tcPr>
          <w:p w14:paraId="2F249143"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464,077</w:t>
            </w:r>
          </w:p>
        </w:tc>
        <w:tc>
          <w:tcPr>
            <w:tcW w:w="1035" w:type="dxa"/>
            <w:noWrap/>
            <w:hideMark/>
          </w:tcPr>
          <w:p w14:paraId="28E579E1" w14:textId="77777777" w:rsidR="00C327E5" w:rsidRPr="00C327E5"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C327E5">
              <w:rPr>
                <w:sz w:val="18"/>
                <w:szCs w:val="18"/>
              </w:rPr>
              <w:t>1,831,822</w:t>
            </w:r>
          </w:p>
        </w:tc>
      </w:tr>
      <w:tr w:rsidR="00C327E5" w:rsidRPr="00CE304A" w14:paraId="76A7409C" w14:textId="77777777" w:rsidTr="002B1D4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21" w:type="dxa"/>
            <w:noWrap/>
            <w:hideMark/>
          </w:tcPr>
          <w:p w14:paraId="2E09DBFF" w14:textId="77777777" w:rsidR="00C327E5" w:rsidRPr="00C327E5" w:rsidRDefault="00C327E5" w:rsidP="00C327E5">
            <w:pPr>
              <w:pStyle w:val="NoSpacing1"/>
              <w:rPr>
                <w:b w:val="0"/>
                <w:sz w:val="18"/>
                <w:szCs w:val="18"/>
              </w:rPr>
            </w:pPr>
            <w:r w:rsidRPr="00C327E5">
              <w:rPr>
                <w:sz w:val="18"/>
                <w:szCs w:val="18"/>
              </w:rPr>
              <w:t>70</w:t>
            </w:r>
          </w:p>
        </w:tc>
        <w:tc>
          <w:tcPr>
            <w:tcW w:w="681" w:type="dxa"/>
            <w:noWrap/>
            <w:vAlign w:val="bottom"/>
            <w:hideMark/>
          </w:tcPr>
          <w:p w14:paraId="4B499270"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1,698</w:t>
            </w:r>
          </w:p>
        </w:tc>
        <w:tc>
          <w:tcPr>
            <w:tcW w:w="716" w:type="dxa"/>
            <w:noWrap/>
            <w:vAlign w:val="bottom"/>
            <w:hideMark/>
          </w:tcPr>
          <w:p w14:paraId="6083B37E"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853</w:t>
            </w:r>
          </w:p>
        </w:tc>
        <w:tc>
          <w:tcPr>
            <w:tcW w:w="660" w:type="dxa"/>
            <w:noWrap/>
            <w:vAlign w:val="bottom"/>
            <w:hideMark/>
          </w:tcPr>
          <w:p w14:paraId="3789DCB0"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2,543</w:t>
            </w:r>
          </w:p>
        </w:tc>
        <w:tc>
          <w:tcPr>
            <w:tcW w:w="681" w:type="dxa"/>
            <w:noWrap/>
            <w:hideMark/>
          </w:tcPr>
          <w:p w14:paraId="3EE425B4"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1,736</w:t>
            </w:r>
          </w:p>
        </w:tc>
        <w:tc>
          <w:tcPr>
            <w:tcW w:w="588" w:type="dxa"/>
            <w:noWrap/>
            <w:hideMark/>
          </w:tcPr>
          <w:p w14:paraId="51873518"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-347</w:t>
            </w:r>
          </w:p>
        </w:tc>
        <w:tc>
          <w:tcPr>
            <w:tcW w:w="632" w:type="dxa"/>
            <w:noWrap/>
            <w:hideMark/>
          </w:tcPr>
          <w:p w14:paraId="4B0CB73B"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3,819</w:t>
            </w:r>
          </w:p>
        </w:tc>
        <w:tc>
          <w:tcPr>
            <w:tcW w:w="664" w:type="dxa"/>
            <w:noWrap/>
            <w:hideMark/>
          </w:tcPr>
          <w:p w14:paraId="41DE2049"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983</w:t>
            </w:r>
          </w:p>
        </w:tc>
        <w:tc>
          <w:tcPr>
            <w:tcW w:w="556" w:type="dxa"/>
            <w:noWrap/>
            <w:hideMark/>
          </w:tcPr>
          <w:p w14:paraId="01895FCC"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301</w:t>
            </w:r>
          </w:p>
        </w:tc>
        <w:tc>
          <w:tcPr>
            <w:tcW w:w="771" w:type="dxa"/>
            <w:noWrap/>
            <w:hideMark/>
          </w:tcPr>
          <w:p w14:paraId="0E2CCF55"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1,665</w:t>
            </w:r>
          </w:p>
        </w:tc>
        <w:tc>
          <w:tcPr>
            <w:tcW w:w="1035" w:type="dxa"/>
            <w:noWrap/>
            <w:hideMark/>
          </w:tcPr>
          <w:p w14:paraId="681AA886"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3,132,862</w:t>
            </w:r>
          </w:p>
        </w:tc>
        <w:tc>
          <w:tcPr>
            <w:tcW w:w="1035" w:type="dxa"/>
            <w:noWrap/>
            <w:hideMark/>
          </w:tcPr>
          <w:p w14:paraId="61C00E4F"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1,410,641</w:t>
            </w:r>
          </w:p>
        </w:tc>
        <w:tc>
          <w:tcPr>
            <w:tcW w:w="1051" w:type="dxa"/>
            <w:noWrap/>
            <w:hideMark/>
          </w:tcPr>
          <w:p w14:paraId="1FF1C4F8"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4,855,084</w:t>
            </w:r>
          </w:p>
        </w:tc>
        <w:tc>
          <w:tcPr>
            <w:tcW w:w="1035" w:type="dxa"/>
            <w:noWrap/>
            <w:hideMark/>
          </w:tcPr>
          <w:p w14:paraId="191E1086"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880,268</w:t>
            </w:r>
          </w:p>
        </w:tc>
        <w:tc>
          <w:tcPr>
            <w:tcW w:w="898" w:type="dxa"/>
            <w:noWrap/>
            <w:hideMark/>
          </w:tcPr>
          <w:p w14:paraId="316CA186"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355,906</w:t>
            </w:r>
          </w:p>
        </w:tc>
        <w:tc>
          <w:tcPr>
            <w:tcW w:w="1035" w:type="dxa"/>
            <w:noWrap/>
            <w:hideMark/>
          </w:tcPr>
          <w:p w14:paraId="2F7D580A" w14:textId="77777777" w:rsidR="00C327E5" w:rsidRPr="00C327E5" w:rsidRDefault="00C327E5" w:rsidP="00C327E5">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C327E5">
              <w:rPr>
                <w:sz w:val="18"/>
                <w:szCs w:val="18"/>
              </w:rPr>
              <w:t>1,404,630</w:t>
            </w:r>
          </w:p>
        </w:tc>
      </w:tr>
    </w:tbl>
    <w:p w14:paraId="09669DBB" w14:textId="205A2713" w:rsidR="00CE304A" w:rsidRPr="001C2012" w:rsidRDefault="00CE304A" w:rsidP="001C2012">
      <w:pPr>
        <w:pStyle w:val="Caption"/>
      </w:pPr>
      <w:bookmarkStart w:id="18" w:name="_Ref487450304"/>
      <w:r w:rsidRPr="001C2012">
        <w:t xml:space="preserve">Table </w:t>
      </w:r>
      <w:fldSimple w:instr=" SEQ Table \* ARABIC ">
        <w:r w:rsidR="008E6BFD">
          <w:rPr>
            <w:noProof/>
          </w:rPr>
          <w:t>4</w:t>
        </w:r>
      </w:fldSimple>
      <w:bookmarkEnd w:id="18"/>
      <w:r w:rsidRPr="001C2012">
        <w:t>:</w:t>
      </w:r>
      <w:r w:rsidR="0061612B" w:rsidRPr="001C2012">
        <w:t xml:space="preserve"> Estimated Ozone-Related Economic Impacts (2010$) Following Monitor Rollback to 70, 65, and 40 ppb for 2013-2016 in the OTR</w:t>
      </w:r>
    </w:p>
    <w:tbl>
      <w:tblPr>
        <w:tblStyle w:val="PlainTable31"/>
        <w:tblW w:w="11732" w:type="dxa"/>
        <w:tblLook w:val="04A0" w:firstRow="1" w:lastRow="0" w:firstColumn="1" w:lastColumn="0" w:noHBand="0" w:noVBand="1"/>
      </w:tblPr>
      <w:tblGrid>
        <w:gridCol w:w="589"/>
        <w:gridCol w:w="1536"/>
        <w:gridCol w:w="1308"/>
        <w:gridCol w:w="1536"/>
        <w:gridCol w:w="1127"/>
        <w:gridCol w:w="1127"/>
        <w:gridCol w:w="1219"/>
        <w:gridCol w:w="1127"/>
        <w:gridCol w:w="1036"/>
        <w:gridCol w:w="1127"/>
      </w:tblGrid>
      <w:tr w:rsidR="00880057" w:rsidRPr="00CE304A" w14:paraId="4D9D41AD" w14:textId="77777777" w:rsidTr="001B23C9">
        <w:trPr>
          <w:cnfStyle w:val="100000000000" w:firstRow="1" w:lastRow="0" w:firstColumn="0" w:lastColumn="0" w:oddVBand="0" w:evenVBand="0" w:oddHBand="0" w:evenHBand="0" w:firstRowFirstColumn="0" w:firstRowLastColumn="0" w:lastRowFirstColumn="0" w:lastRowLastColumn="0"/>
          <w:trHeight w:val="245"/>
        </w:trPr>
        <w:tc>
          <w:tcPr>
            <w:cnfStyle w:val="001000000100" w:firstRow="0" w:lastRow="0" w:firstColumn="1" w:lastColumn="0" w:oddVBand="0" w:evenVBand="0" w:oddHBand="0" w:evenHBand="0" w:firstRowFirstColumn="1" w:firstRowLastColumn="0" w:lastRowFirstColumn="0" w:lastRowLastColumn="0"/>
            <w:tcW w:w="589" w:type="dxa"/>
            <w:vMerge w:val="restart"/>
            <w:noWrap/>
            <w:hideMark/>
          </w:tcPr>
          <w:p w14:paraId="40BDC88E" w14:textId="77777777" w:rsidR="00294FDD" w:rsidRPr="001C2012" w:rsidRDefault="00294FDD" w:rsidP="001C2012">
            <w:pPr>
              <w:pStyle w:val="NoSpacing1"/>
              <w:rPr>
                <w:sz w:val="18"/>
                <w:szCs w:val="18"/>
              </w:rPr>
            </w:pPr>
          </w:p>
        </w:tc>
        <w:tc>
          <w:tcPr>
            <w:tcW w:w="4380" w:type="dxa"/>
            <w:gridSpan w:val="3"/>
            <w:hideMark/>
          </w:tcPr>
          <w:p w14:paraId="4BC3BD36" w14:textId="77777777" w:rsidR="00294FDD" w:rsidRPr="001C2012" w:rsidRDefault="00294FDD" w:rsidP="001C2012">
            <w:pPr>
              <w:pStyle w:val="NoSpacing1"/>
              <w:cnfStyle w:val="100000000000" w:firstRow="1" w:lastRow="0" w:firstColumn="0" w:lastColumn="0" w:oddVBand="0" w:evenVBand="0" w:oddHBand="0" w:evenHBand="0" w:firstRowFirstColumn="0" w:firstRowLastColumn="0" w:lastRowFirstColumn="0" w:lastRowLastColumn="0"/>
              <w:rPr>
                <w:caps w:val="0"/>
                <w:sz w:val="18"/>
              </w:rPr>
            </w:pPr>
            <w:r w:rsidRPr="001C2012">
              <w:rPr>
                <w:caps w:val="0"/>
                <w:sz w:val="18"/>
              </w:rPr>
              <w:t>Mortality, All Causes</w:t>
            </w:r>
          </w:p>
        </w:tc>
        <w:tc>
          <w:tcPr>
            <w:tcW w:w="3473" w:type="dxa"/>
            <w:gridSpan w:val="3"/>
            <w:hideMark/>
          </w:tcPr>
          <w:p w14:paraId="2F3EA15A" w14:textId="0D8CEA9B" w:rsidR="00294FDD" w:rsidRPr="001C2012" w:rsidRDefault="00294FDD" w:rsidP="00873B6C">
            <w:pPr>
              <w:pStyle w:val="NoSpacing1"/>
              <w:cnfStyle w:val="100000000000" w:firstRow="1" w:lastRow="0" w:firstColumn="0" w:lastColumn="0" w:oddVBand="0" w:evenVBand="0" w:oddHBand="0" w:evenHBand="0" w:firstRowFirstColumn="0" w:firstRowLastColumn="0" w:lastRowFirstColumn="0" w:lastRowLastColumn="0"/>
              <w:rPr>
                <w:caps w:val="0"/>
                <w:sz w:val="18"/>
              </w:rPr>
            </w:pPr>
            <w:r w:rsidRPr="001C2012">
              <w:rPr>
                <w:caps w:val="0"/>
                <w:sz w:val="18"/>
              </w:rPr>
              <w:t>Emergency Room Visits</w:t>
            </w:r>
            <w:r w:rsidR="00873B6C">
              <w:rPr>
                <w:caps w:val="0"/>
                <w:sz w:val="18"/>
              </w:rPr>
              <w:t>,</w:t>
            </w:r>
            <w:r w:rsidRPr="001C2012">
              <w:rPr>
                <w:caps w:val="0"/>
                <w:sz w:val="18"/>
              </w:rPr>
              <w:t xml:space="preserve"> </w:t>
            </w:r>
            <w:r w:rsidR="00873B6C">
              <w:rPr>
                <w:caps w:val="0"/>
                <w:sz w:val="18"/>
              </w:rPr>
              <w:t>Asthma</w:t>
            </w:r>
          </w:p>
        </w:tc>
        <w:tc>
          <w:tcPr>
            <w:tcW w:w="3290" w:type="dxa"/>
            <w:gridSpan w:val="3"/>
            <w:hideMark/>
          </w:tcPr>
          <w:p w14:paraId="10C0C048" w14:textId="77777777" w:rsidR="00294FDD" w:rsidRPr="001C2012" w:rsidRDefault="00294FDD" w:rsidP="001C2012">
            <w:pPr>
              <w:pStyle w:val="NoSpacing1"/>
              <w:cnfStyle w:val="100000000000" w:firstRow="1" w:lastRow="0" w:firstColumn="0" w:lastColumn="0" w:oddVBand="0" w:evenVBand="0" w:oddHBand="0" w:evenHBand="0" w:firstRowFirstColumn="0" w:firstRowLastColumn="0" w:lastRowFirstColumn="0" w:lastRowLastColumn="0"/>
              <w:rPr>
                <w:caps w:val="0"/>
                <w:sz w:val="18"/>
              </w:rPr>
            </w:pPr>
            <w:r w:rsidRPr="001C2012">
              <w:rPr>
                <w:caps w:val="0"/>
                <w:sz w:val="18"/>
              </w:rPr>
              <w:t>Hospital Admissions  Respiratory</w:t>
            </w:r>
          </w:p>
        </w:tc>
      </w:tr>
      <w:tr w:rsidR="00880057" w:rsidRPr="00CE304A" w14:paraId="12EF2045" w14:textId="77777777" w:rsidTr="001B23C9">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589" w:type="dxa"/>
            <w:vMerge/>
            <w:noWrap/>
            <w:hideMark/>
          </w:tcPr>
          <w:p w14:paraId="24ED7A8B" w14:textId="77777777" w:rsidR="00294FDD" w:rsidRPr="001C2012" w:rsidRDefault="00294FDD" w:rsidP="001C2012">
            <w:pPr>
              <w:pStyle w:val="NoSpacing1"/>
              <w:rPr>
                <w:sz w:val="18"/>
                <w:szCs w:val="18"/>
              </w:rPr>
            </w:pPr>
          </w:p>
        </w:tc>
        <w:tc>
          <w:tcPr>
            <w:tcW w:w="1536" w:type="dxa"/>
            <w:tcBorders>
              <w:top w:val="single" w:sz="4" w:space="0" w:color="7F7F7F"/>
            </w:tcBorders>
            <w:noWrap/>
            <w:hideMark/>
          </w:tcPr>
          <w:p w14:paraId="4582E12A" w14:textId="77777777" w:rsidR="00294FDD" w:rsidRPr="001C2012" w:rsidRDefault="00294FDD" w:rsidP="001C2012">
            <w:pPr>
              <w:pStyle w:val="NoSpacing1"/>
              <w:cnfStyle w:val="000000100000" w:firstRow="0" w:lastRow="0" w:firstColumn="0" w:lastColumn="0" w:oddVBand="0" w:evenVBand="0" w:oddHBand="1" w:evenHBand="0" w:firstRowFirstColumn="0" w:firstRowLastColumn="0" w:lastRowFirstColumn="0" w:lastRowLastColumn="0"/>
              <w:rPr>
                <w:b/>
                <w:sz w:val="18"/>
              </w:rPr>
            </w:pPr>
            <w:r w:rsidRPr="001C2012">
              <w:rPr>
                <w:b/>
                <w:sz w:val="18"/>
              </w:rPr>
              <w:t>Mean</w:t>
            </w:r>
          </w:p>
        </w:tc>
        <w:tc>
          <w:tcPr>
            <w:tcW w:w="1308" w:type="dxa"/>
            <w:tcBorders>
              <w:top w:val="single" w:sz="4" w:space="0" w:color="7F7F7F"/>
            </w:tcBorders>
            <w:noWrap/>
            <w:hideMark/>
          </w:tcPr>
          <w:p w14:paraId="4904EAB7" w14:textId="77777777" w:rsidR="00294FDD" w:rsidRPr="001C2012" w:rsidRDefault="00294FDD" w:rsidP="001C2012">
            <w:pPr>
              <w:pStyle w:val="NoSpacing1"/>
              <w:cnfStyle w:val="000000100000" w:firstRow="0" w:lastRow="0" w:firstColumn="0" w:lastColumn="0" w:oddVBand="0" w:evenVBand="0" w:oddHBand="1" w:evenHBand="0" w:firstRowFirstColumn="0" w:firstRowLastColumn="0" w:lastRowFirstColumn="0" w:lastRowLastColumn="0"/>
              <w:rPr>
                <w:b/>
                <w:sz w:val="18"/>
              </w:rPr>
            </w:pPr>
            <w:r w:rsidRPr="001C2012">
              <w:rPr>
                <w:b/>
                <w:sz w:val="18"/>
              </w:rPr>
              <w:t>-2σ</w:t>
            </w:r>
          </w:p>
        </w:tc>
        <w:tc>
          <w:tcPr>
            <w:tcW w:w="1536" w:type="dxa"/>
            <w:tcBorders>
              <w:top w:val="single" w:sz="4" w:space="0" w:color="7F7F7F"/>
              <w:right w:val="single" w:sz="4" w:space="0" w:color="7F7F7F"/>
            </w:tcBorders>
            <w:noWrap/>
            <w:hideMark/>
          </w:tcPr>
          <w:p w14:paraId="5CAD3BE1" w14:textId="77777777" w:rsidR="00294FDD" w:rsidRPr="001C2012" w:rsidRDefault="00294FDD" w:rsidP="001C2012">
            <w:pPr>
              <w:pStyle w:val="NoSpacing1"/>
              <w:cnfStyle w:val="000000100000" w:firstRow="0" w:lastRow="0" w:firstColumn="0" w:lastColumn="0" w:oddVBand="0" w:evenVBand="0" w:oddHBand="1" w:evenHBand="0" w:firstRowFirstColumn="0" w:firstRowLastColumn="0" w:lastRowFirstColumn="0" w:lastRowLastColumn="0"/>
              <w:rPr>
                <w:b/>
                <w:sz w:val="18"/>
              </w:rPr>
            </w:pPr>
            <w:r w:rsidRPr="001C2012">
              <w:rPr>
                <w:b/>
                <w:sz w:val="18"/>
              </w:rPr>
              <w:t>2σ</w:t>
            </w:r>
          </w:p>
        </w:tc>
        <w:tc>
          <w:tcPr>
            <w:tcW w:w="1127" w:type="dxa"/>
            <w:tcBorders>
              <w:top w:val="single" w:sz="4" w:space="0" w:color="7F7F7F"/>
              <w:left w:val="single" w:sz="4" w:space="0" w:color="7F7F7F"/>
            </w:tcBorders>
            <w:noWrap/>
            <w:hideMark/>
          </w:tcPr>
          <w:p w14:paraId="7CDF18ED" w14:textId="77777777" w:rsidR="00294FDD" w:rsidRPr="001C2012" w:rsidRDefault="00294FDD" w:rsidP="001C2012">
            <w:pPr>
              <w:pStyle w:val="NoSpacing1"/>
              <w:cnfStyle w:val="000000100000" w:firstRow="0" w:lastRow="0" w:firstColumn="0" w:lastColumn="0" w:oddVBand="0" w:evenVBand="0" w:oddHBand="1" w:evenHBand="0" w:firstRowFirstColumn="0" w:firstRowLastColumn="0" w:lastRowFirstColumn="0" w:lastRowLastColumn="0"/>
              <w:rPr>
                <w:b/>
                <w:sz w:val="18"/>
              </w:rPr>
            </w:pPr>
            <w:r w:rsidRPr="001C2012">
              <w:rPr>
                <w:b/>
                <w:sz w:val="18"/>
              </w:rPr>
              <w:t>Mean</w:t>
            </w:r>
          </w:p>
        </w:tc>
        <w:tc>
          <w:tcPr>
            <w:tcW w:w="1127" w:type="dxa"/>
            <w:tcBorders>
              <w:top w:val="single" w:sz="4" w:space="0" w:color="7F7F7F"/>
            </w:tcBorders>
            <w:noWrap/>
            <w:hideMark/>
          </w:tcPr>
          <w:p w14:paraId="15CC3569" w14:textId="77777777" w:rsidR="00294FDD" w:rsidRPr="001C2012" w:rsidRDefault="00294FDD" w:rsidP="001C2012">
            <w:pPr>
              <w:pStyle w:val="NoSpacing1"/>
              <w:cnfStyle w:val="000000100000" w:firstRow="0" w:lastRow="0" w:firstColumn="0" w:lastColumn="0" w:oddVBand="0" w:evenVBand="0" w:oddHBand="1" w:evenHBand="0" w:firstRowFirstColumn="0" w:firstRowLastColumn="0" w:lastRowFirstColumn="0" w:lastRowLastColumn="0"/>
              <w:rPr>
                <w:b/>
                <w:sz w:val="18"/>
              </w:rPr>
            </w:pPr>
            <w:r w:rsidRPr="001C2012">
              <w:rPr>
                <w:b/>
                <w:sz w:val="18"/>
              </w:rPr>
              <w:t>-2σ</w:t>
            </w:r>
          </w:p>
        </w:tc>
        <w:tc>
          <w:tcPr>
            <w:tcW w:w="1219" w:type="dxa"/>
            <w:tcBorders>
              <w:top w:val="single" w:sz="4" w:space="0" w:color="7F7F7F"/>
              <w:right w:val="single" w:sz="4" w:space="0" w:color="7F7F7F"/>
            </w:tcBorders>
            <w:noWrap/>
            <w:hideMark/>
          </w:tcPr>
          <w:p w14:paraId="5629B39E" w14:textId="77777777" w:rsidR="00294FDD" w:rsidRPr="001C2012" w:rsidRDefault="00294FDD" w:rsidP="001C2012">
            <w:pPr>
              <w:pStyle w:val="NoSpacing1"/>
              <w:cnfStyle w:val="000000100000" w:firstRow="0" w:lastRow="0" w:firstColumn="0" w:lastColumn="0" w:oddVBand="0" w:evenVBand="0" w:oddHBand="1" w:evenHBand="0" w:firstRowFirstColumn="0" w:firstRowLastColumn="0" w:lastRowFirstColumn="0" w:lastRowLastColumn="0"/>
              <w:rPr>
                <w:b/>
                <w:sz w:val="18"/>
              </w:rPr>
            </w:pPr>
            <w:r w:rsidRPr="001C2012">
              <w:rPr>
                <w:b/>
                <w:sz w:val="18"/>
              </w:rPr>
              <w:t>2σ</w:t>
            </w:r>
          </w:p>
        </w:tc>
        <w:tc>
          <w:tcPr>
            <w:tcW w:w="1127" w:type="dxa"/>
            <w:tcBorders>
              <w:left w:val="single" w:sz="4" w:space="0" w:color="7F7F7F"/>
            </w:tcBorders>
            <w:noWrap/>
            <w:hideMark/>
          </w:tcPr>
          <w:p w14:paraId="18DC9043" w14:textId="77777777" w:rsidR="00294FDD" w:rsidRPr="001C2012" w:rsidRDefault="00294FDD" w:rsidP="001C2012">
            <w:pPr>
              <w:pStyle w:val="NoSpacing1"/>
              <w:cnfStyle w:val="000000100000" w:firstRow="0" w:lastRow="0" w:firstColumn="0" w:lastColumn="0" w:oddVBand="0" w:evenVBand="0" w:oddHBand="1" w:evenHBand="0" w:firstRowFirstColumn="0" w:firstRowLastColumn="0" w:lastRowFirstColumn="0" w:lastRowLastColumn="0"/>
              <w:rPr>
                <w:b/>
                <w:sz w:val="18"/>
              </w:rPr>
            </w:pPr>
            <w:r w:rsidRPr="001C2012">
              <w:rPr>
                <w:b/>
                <w:sz w:val="18"/>
              </w:rPr>
              <w:t>Mean</w:t>
            </w:r>
          </w:p>
        </w:tc>
        <w:tc>
          <w:tcPr>
            <w:tcW w:w="1036" w:type="dxa"/>
            <w:noWrap/>
            <w:hideMark/>
          </w:tcPr>
          <w:p w14:paraId="60972857" w14:textId="77777777" w:rsidR="00294FDD" w:rsidRPr="001C2012" w:rsidRDefault="00294FDD" w:rsidP="001C2012">
            <w:pPr>
              <w:pStyle w:val="NoSpacing1"/>
              <w:cnfStyle w:val="000000100000" w:firstRow="0" w:lastRow="0" w:firstColumn="0" w:lastColumn="0" w:oddVBand="0" w:evenVBand="0" w:oddHBand="1" w:evenHBand="0" w:firstRowFirstColumn="0" w:firstRowLastColumn="0" w:lastRowFirstColumn="0" w:lastRowLastColumn="0"/>
              <w:rPr>
                <w:b/>
                <w:sz w:val="18"/>
              </w:rPr>
            </w:pPr>
            <w:r w:rsidRPr="001C2012">
              <w:rPr>
                <w:b/>
                <w:sz w:val="18"/>
              </w:rPr>
              <w:t>-2σ</w:t>
            </w:r>
          </w:p>
        </w:tc>
        <w:tc>
          <w:tcPr>
            <w:tcW w:w="1127" w:type="dxa"/>
            <w:noWrap/>
            <w:hideMark/>
          </w:tcPr>
          <w:p w14:paraId="21F36ED2" w14:textId="77777777" w:rsidR="00294FDD" w:rsidRPr="001C2012" w:rsidRDefault="00294FDD" w:rsidP="001C2012">
            <w:pPr>
              <w:pStyle w:val="NoSpacing1"/>
              <w:cnfStyle w:val="000000100000" w:firstRow="0" w:lastRow="0" w:firstColumn="0" w:lastColumn="0" w:oddVBand="0" w:evenVBand="0" w:oddHBand="1" w:evenHBand="0" w:firstRowFirstColumn="0" w:firstRowLastColumn="0" w:lastRowFirstColumn="0" w:lastRowLastColumn="0"/>
              <w:rPr>
                <w:b/>
                <w:sz w:val="18"/>
              </w:rPr>
            </w:pPr>
            <w:r w:rsidRPr="001C2012">
              <w:rPr>
                <w:b/>
                <w:sz w:val="18"/>
              </w:rPr>
              <w:t>2σ</w:t>
            </w:r>
          </w:p>
        </w:tc>
      </w:tr>
      <w:tr w:rsidR="00880057" w:rsidRPr="00CE304A" w14:paraId="03594AD1" w14:textId="77777777" w:rsidTr="001B23C9">
        <w:trPr>
          <w:trHeight w:val="245"/>
        </w:trPr>
        <w:tc>
          <w:tcPr>
            <w:cnfStyle w:val="001000000000" w:firstRow="0" w:lastRow="0" w:firstColumn="1" w:lastColumn="0" w:oddVBand="0" w:evenVBand="0" w:oddHBand="0" w:evenHBand="0" w:firstRowFirstColumn="0" w:firstRowLastColumn="0" w:lastRowFirstColumn="0" w:lastRowLastColumn="0"/>
            <w:tcW w:w="589" w:type="dxa"/>
            <w:noWrap/>
            <w:hideMark/>
          </w:tcPr>
          <w:p w14:paraId="7AB5B075" w14:textId="77777777" w:rsidR="00CE304A" w:rsidRPr="001C2012" w:rsidRDefault="00CE304A" w:rsidP="001C2012">
            <w:pPr>
              <w:pStyle w:val="NoSpacing1"/>
              <w:rPr>
                <w:b w:val="0"/>
                <w:sz w:val="18"/>
                <w:szCs w:val="18"/>
              </w:rPr>
            </w:pPr>
            <w:r w:rsidRPr="001C2012">
              <w:rPr>
                <w:sz w:val="18"/>
                <w:szCs w:val="18"/>
              </w:rPr>
              <w:t>2013</w:t>
            </w:r>
          </w:p>
        </w:tc>
        <w:tc>
          <w:tcPr>
            <w:tcW w:w="1536" w:type="dxa"/>
            <w:noWrap/>
            <w:hideMark/>
          </w:tcPr>
          <w:p w14:paraId="273F7DF4" w14:textId="77777777" w:rsidR="00CE304A" w:rsidRPr="001C2012" w:rsidRDefault="00CE304A" w:rsidP="001C2012">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1308" w:type="dxa"/>
            <w:noWrap/>
            <w:hideMark/>
          </w:tcPr>
          <w:p w14:paraId="49CFC073" w14:textId="77777777" w:rsidR="00CE304A" w:rsidRPr="001C2012" w:rsidRDefault="00CE304A" w:rsidP="001C2012">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1536" w:type="dxa"/>
            <w:tcBorders>
              <w:right w:val="single" w:sz="4" w:space="0" w:color="7F7F7F"/>
            </w:tcBorders>
            <w:noWrap/>
            <w:hideMark/>
          </w:tcPr>
          <w:p w14:paraId="4216C834" w14:textId="77777777" w:rsidR="00CE304A" w:rsidRPr="001C2012" w:rsidRDefault="00CE304A" w:rsidP="001C2012">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1127" w:type="dxa"/>
            <w:tcBorders>
              <w:left w:val="single" w:sz="4" w:space="0" w:color="7F7F7F"/>
            </w:tcBorders>
            <w:noWrap/>
            <w:hideMark/>
          </w:tcPr>
          <w:p w14:paraId="7F0B5737" w14:textId="77777777" w:rsidR="00CE304A" w:rsidRPr="001C2012" w:rsidRDefault="00CE304A" w:rsidP="001C2012">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1127" w:type="dxa"/>
            <w:noWrap/>
            <w:hideMark/>
          </w:tcPr>
          <w:p w14:paraId="711DE17F" w14:textId="77777777" w:rsidR="00CE304A" w:rsidRPr="001C2012" w:rsidRDefault="00CE304A" w:rsidP="001C2012">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1219" w:type="dxa"/>
            <w:tcBorders>
              <w:right w:val="single" w:sz="4" w:space="0" w:color="7F7F7F"/>
            </w:tcBorders>
            <w:noWrap/>
            <w:hideMark/>
          </w:tcPr>
          <w:p w14:paraId="2260C38B" w14:textId="77777777" w:rsidR="00CE304A" w:rsidRPr="001C2012" w:rsidRDefault="00CE304A" w:rsidP="001C2012">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1127" w:type="dxa"/>
            <w:tcBorders>
              <w:left w:val="single" w:sz="4" w:space="0" w:color="7F7F7F"/>
            </w:tcBorders>
            <w:noWrap/>
            <w:hideMark/>
          </w:tcPr>
          <w:p w14:paraId="753A6F74" w14:textId="77777777" w:rsidR="00CE304A" w:rsidRPr="00C327E5" w:rsidRDefault="00CE304A"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1036" w:type="dxa"/>
            <w:noWrap/>
            <w:hideMark/>
          </w:tcPr>
          <w:p w14:paraId="5DD2ABAD" w14:textId="77777777" w:rsidR="00CE304A" w:rsidRPr="00C327E5" w:rsidRDefault="00CE304A"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1127" w:type="dxa"/>
            <w:noWrap/>
            <w:hideMark/>
          </w:tcPr>
          <w:p w14:paraId="7610F378" w14:textId="77777777" w:rsidR="00CE304A" w:rsidRPr="00C327E5" w:rsidRDefault="00CE304A"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r>
      <w:tr w:rsidR="00880057" w:rsidRPr="00CE304A" w14:paraId="286A90B4" w14:textId="77777777" w:rsidTr="001B23C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589" w:type="dxa"/>
            <w:noWrap/>
            <w:hideMark/>
          </w:tcPr>
          <w:p w14:paraId="1397F019" w14:textId="77777777" w:rsidR="00880057" w:rsidRPr="001C2012" w:rsidRDefault="00880057" w:rsidP="00880057">
            <w:pPr>
              <w:pStyle w:val="NoSpacing1"/>
              <w:rPr>
                <w:b w:val="0"/>
                <w:sz w:val="18"/>
                <w:szCs w:val="18"/>
              </w:rPr>
            </w:pPr>
            <w:r w:rsidRPr="001C2012">
              <w:rPr>
                <w:sz w:val="18"/>
                <w:szCs w:val="18"/>
              </w:rPr>
              <w:t>40</w:t>
            </w:r>
          </w:p>
        </w:tc>
        <w:tc>
          <w:tcPr>
            <w:tcW w:w="1536" w:type="dxa"/>
            <w:noWrap/>
            <w:vAlign w:val="bottom"/>
            <w:hideMark/>
          </w:tcPr>
          <w:p w14:paraId="46E29D17" w14:textId="77777777"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1C2012">
              <w:rPr>
                <w:sz w:val="18"/>
                <w:szCs w:val="18"/>
              </w:rPr>
              <w:t>$11,519,485,792</w:t>
            </w:r>
          </w:p>
        </w:tc>
        <w:tc>
          <w:tcPr>
            <w:tcW w:w="1308" w:type="dxa"/>
            <w:noWrap/>
            <w:vAlign w:val="bottom"/>
            <w:hideMark/>
          </w:tcPr>
          <w:p w14:paraId="7EB1430F" w14:textId="77777777"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1C2012">
              <w:rPr>
                <w:sz w:val="18"/>
                <w:szCs w:val="18"/>
              </w:rPr>
              <w:t>$170,072,048</w:t>
            </w:r>
          </w:p>
        </w:tc>
        <w:tc>
          <w:tcPr>
            <w:tcW w:w="1536" w:type="dxa"/>
            <w:tcBorders>
              <w:right w:val="single" w:sz="4" w:space="0" w:color="7F7F7F"/>
            </w:tcBorders>
            <w:noWrap/>
            <w:vAlign w:val="bottom"/>
            <w:hideMark/>
          </w:tcPr>
          <w:p w14:paraId="71669021" w14:textId="77777777"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1C2012">
              <w:rPr>
                <w:sz w:val="18"/>
                <w:szCs w:val="18"/>
              </w:rPr>
              <w:t>$22,868,899,536</w:t>
            </w:r>
          </w:p>
        </w:tc>
        <w:tc>
          <w:tcPr>
            <w:tcW w:w="1127" w:type="dxa"/>
            <w:tcBorders>
              <w:left w:val="single" w:sz="4" w:space="0" w:color="7F7F7F"/>
            </w:tcBorders>
            <w:noWrap/>
            <w:hideMark/>
          </w:tcPr>
          <w:p w14:paraId="06B44198" w14:textId="77777777"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$509,316</w:t>
            </w:r>
          </w:p>
        </w:tc>
        <w:tc>
          <w:tcPr>
            <w:tcW w:w="1127" w:type="dxa"/>
            <w:noWrap/>
            <w:hideMark/>
          </w:tcPr>
          <w:p w14:paraId="4C452495" w14:textId="77777777"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-$101,640</w:t>
            </w:r>
          </w:p>
        </w:tc>
        <w:tc>
          <w:tcPr>
            <w:tcW w:w="1219" w:type="dxa"/>
            <w:tcBorders>
              <w:right w:val="single" w:sz="4" w:space="0" w:color="7F7F7F"/>
            </w:tcBorders>
            <w:noWrap/>
            <w:hideMark/>
          </w:tcPr>
          <w:p w14:paraId="13994318" w14:textId="77777777"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$1,120,272</w:t>
            </w:r>
          </w:p>
        </w:tc>
        <w:tc>
          <w:tcPr>
            <w:tcW w:w="1127" w:type="dxa"/>
            <w:tcBorders>
              <w:left w:val="single" w:sz="4" w:space="0" w:color="7F7F7F"/>
            </w:tcBorders>
            <w:noWrap/>
            <w:hideMark/>
          </w:tcPr>
          <w:p w14:paraId="79AFB6D3" w14:textId="689263B7"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880057">
              <w:rPr>
                <w:sz w:val="18"/>
                <w:szCs w:val="18"/>
              </w:rPr>
              <w:t>$21,681,375</w:t>
            </w:r>
          </w:p>
        </w:tc>
        <w:tc>
          <w:tcPr>
            <w:tcW w:w="1036" w:type="dxa"/>
            <w:noWrap/>
            <w:hideMark/>
          </w:tcPr>
          <w:p w14:paraId="6505A4F3" w14:textId="53085AD7"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880057">
              <w:rPr>
                <w:sz w:val="18"/>
                <w:szCs w:val="18"/>
              </w:rPr>
              <w:t>$5,500,972</w:t>
            </w:r>
          </w:p>
        </w:tc>
        <w:tc>
          <w:tcPr>
            <w:tcW w:w="1127" w:type="dxa"/>
            <w:noWrap/>
            <w:hideMark/>
          </w:tcPr>
          <w:p w14:paraId="2495F87D" w14:textId="0291D183"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880057">
              <w:rPr>
                <w:sz w:val="18"/>
                <w:szCs w:val="18"/>
              </w:rPr>
              <w:t>$37,861,779</w:t>
            </w:r>
          </w:p>
        </w:tc>
      </w:tr>
      <w:tr w:rsidR="00880057" w:rsidRPr="00CE304A" w14:paraId="2012B1A0" w14:textId="77777777" w:rsidTr="001B23C9">
        <w:trPr>
          <w:trHeight w:val="245"/>
        </w:trPr>
        <w:tc>
          <w:tcPr>
            <w:cnfStyle w:val="001000000000" w:firstRow="0" w:lastRow="0" w:firstColumn="1" w:lastColumn="0" w:oddVBand="0" w:evenVBand="0" w:oddHBand="0" w:evenHBand="0" w:firstRowFirstColumn="0" w:firstRowLastColumn="0" w:lastRowFirstColumn="0" w:lastRowLastColumn="0"/>
            <w:tcW w:w="589" w:type="dxa"/>
            <w:noWrap/>
            <w:hideMark/>
          </w:tcPr>
          <w:p w14:paraId="1B3E1333" w14:textId="77777777" w:rsidR="00880057" w:rsidRPr="001C2012" w:rsidRDefault="00880057" w:rsidP="00880057">
            <w:pPr>
              <w:pStyle w:val="NoSpacing1"/>
              <w:rPr>
                <w:b w:val="0"/>
                <w:sz w:val="18"/>
                <w:szCs w:val="18"/>
              </w:rPr>
            </w:pPr>
            <w:r w:rsidRPr="001C2012">
              <w:rPr>
                <w:sz w:val="18"/>
                <w:szCs w:val="18"/>
              </w:rPr>
              <w:t>65</w:t>
            </w:r>
          </w:p>
        </w:tc>
        <w:tc>
          <w:tcPr>
            <w:tcW w:w="1536" w:type="dxa"/>
            <w:noWrap/>
            <w:hideMark/>
          </w:tcPr>
          <w:p w14:paraId="37733BC8" w14:textId="39DD8919" w:rsidR="00880057" w:rsidRPr="00873B6C"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873B6C">
              <w:rPr>
                <w:sz w:val="18"/>
                <w:szCs w:val="18"/>
              </w:rPr>
              <w:t>$9,384,812,704</w:t>
            </w:r>
          </w:p>
        </w:tc>
        <w:tc>
          <w:tcPr>
            <w:tcW w:w="1308" w:type="dxa"/>
            <w:noWrap/>
            <w:hideMark/>
          </w:tcPr>
          <w:p w14:paraId="5AC94098" w14:textId="02E164E5" w:rsidR="00880057" w:rsidRPr="00873B6C"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873B6C">
              <w:rPr>
                <w:sz w:val="18"/>
                <w:szCs w:val="18"/>
              </w:rPr>
              <w:t>$136,750,106</w:t>
            </w:r>
          </w:p>
        </w:tc>
        <w:tc>
          <w:tcPr>
            <w:tcW w:w="1536" w:type="dxa"/>
            <w:tcBorders>
              <w:right w:val="single" w:sz="4" w:space="0" w:color="7F7F7F"/>
            </w:tcBorders>
            <w:noWrap/>
            <w:hideMark/>
          </w:tcPr>
          <w:p w14:paraId="75BFF85C" w14:textId="1BE84C62" w:rsidR="00880057" w:rsidRPr="00873B6C"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873B6C">
              <w:rPr>
                <w:sz w:val="18"/>
                <w:szCs w:val="18"/>
              </w:rPr>
              <w:t>$18,632,875,302</w:t>
            </w:r>
          </w:p>
        </w:tc>
        <w:tc>
          <w:tcPr>
            <w:tcW w:w="1127" w:type="dxa"/>
            <w:tcBorders>
              <w:left w:val="single" w:sz="4" w:space="0" w:color="7F7F7F"/>
            </w:tcBorders>
            <w:noWrap/>
            <w:hideMark/>
          </w:tcPr>
          <w:p w14:paraId="60A7C5E6" w14:textId="162190E6" w:rsidR="00880057" w:rsidRPr="00873B6C"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873B6C">
              <w:rPr>
                <w:sz w:val="18"/>
                <w:szCs w:val="18"/>
              </w:rPr>
              <w:t>$427,626</w:t>
            </w:r>
          </w:p>
        </w:tc>
        <w:tc>
          <w:tcPr>
            <w:tcW w:w="1127" w:type="dxa"/>
            <w:noWrap/>
            <w:hideMark/>
          </w:tcPr>
          <w:p w14:paraId="1F5FF8BA" w14:textId="20C081ED" w:rsidR="00880057" w:rsidRPr="00873B6C"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873B6C">
              <w:rPr>
                <w:sz w:val="18"/>
                <w:szCs w:val="18"/>
              </w:rPr>
              <w:t>-$85,729</w:t>
            </w:r>
          </w:p>
        </w:tc>
        <w:tc>
          <w:tcPr>
            <w:tcW w:w="1219" w:type="dxa"/>
            <w:tcBorders>
              <w:right w:val="single" w:sz="4" w:space="0" w:color="7F7F7F"/>
            </w:tcBorders>
            <w:noWrap/>
            <w:hideMark/>
          </w:tcPr>
          <w:p w14:paraId="3FD5A7D3" w14:textId="3C101C19" w:rsidR="00880057" w:rsidRPr="00873B6C"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873B6C">
              <w:rPr>
                <w:sz w:val="18"/>
                <w:szCs w:val="18"/>
              </w:rPr>
              <w:t>$940,981</w:t>
            </w:r>
          </w:p>
        </w:tc>
        <w:tc>
          <w:tcPr>
            <w:tcW w:w="1127" w:type="dxa"/>
            <w:tcBorders>
              <w:left w:val="single" w:sz="4" w:space="0" w:color="7F7F7F"/>
            </w:tcBorders>
            <w:noWrap/>
            <w:hideMark/>
          </w:tcPr>
          <w:p w14:paraId="02942299" w14:textId="2F1F352E"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880057">
              <w:rPr>
                <w:sz w:val="18"/>
                <w:szCs w:val="18"/>
              </w:rPr>
              <w:t>$17,854,061</w:t>
            </w:r>
          </w:p>
        </w:tc>
        <w:tc>
          <w:tcPr>
            <w:tcW w:w="1036" w:type="dxa"/>
            <w:noWrap/>
            <w:hideMark/>
          </w:tcPr>
          <w:p w14:paraId="07FFEC00" w14:textId="5B47EE18"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880057">
              <w:rPr>
                <w:sz w:val="18"/>
                <w:szCs w:val="18"/>
              </w:rPr>
              <w:t>$4,591,009</w:t>
            </w:r>
          </w:p>
        </w:tc>
        <w:tc>
          <w:tcPr>
            <w:tcW w:w="1127" w:type="dxa"/>
            <w:noWrap/>
            <w:hideMark/>
          </w:tcPr>
          <w:p w14:paraId="000D7A1F" w14:textId="7185EB07"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880057">
              <w:rPr>
                <w:sz w:val="18"/>
                <w:szCs w:val="18"/>
              </w:rPr>
              <w:t>$31,117,112</w:t>
            </w:r>
          </w:p>
        </w:tc>
      </w:tr>
      <w:tr w:rsidR="00880057" w:rsidRPr="00CE304A" w14:paraId="340CFFFA" w14:textId="77777777" w:rsidTr="001B23C9">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589" w:type="dxa"/>
            <w:noWrap/>
            <w:hideMark/>
          </w:tcPr>
          <w:p w14:paraId="0834FE75" w14:textId="77777777" w:rsidR="00880057" w:rsidRPr="001C2012" w:rsidRDefault="00880057" w:rsidP="00880057">
            <w:pPr>
              <w:pStyle w:val="NoSpacing1"/>
              <w:rPr>
                <w:b w:val="0"/>
                <w:sz w:val="18"/>
                <w:szCs w:val="18"/>
              </w:rPr>
            </w:pPr>
            <w:r w:rsidRPr="001C2012">
              <w:rPr>
                <w:sz w:val="18"/>
                <w:szCs w:val="18"/>
              </w:rPr>
              <w:t>70</w:t>
            </w:r>
          </w:p>
        </w:tc>
        <w:tc>
          <w:tcPr>
            <w:tcW w:w="1536" w:type="dxa"/>
            <w:noWrap/>
            <w:hideMark/>
          </w:tcPr>
          <w:p w14:paraId="7412729E" w14:textId="39C6FF01"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$5,113,000,701</w:t>
            </w:r>
          </w:p>
        </w:tc>
        <w:tc>
          <w:tcPr>
            <w:tcW w:w="1308" w:type="dxa"/>
            <w:noWrap/>
            <w:hideMark/>
          </w:tcPr>
          <w:p w14:paraId="02C4065F" w14:textId="2231AB12"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$73,367,741</w:t>
            </w:r>
          </w:p>
        </w:tc>
        <w:tc>
          <w:tcPr>
            <w:tcW w:w="1536" w:type="dxa"/>
            <w:tcBorders>
              <w:right w:val="single" w:sz="4" w:space="0" w:color="7F7F7F"/>
            </w:tcBorders>
            <w:noWrap/>
            <w:hideMark/>
          </w:tcPr>
          <w:p w14:paraId="35351E70" w14:textId="667CA5FB"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$10,152,633,661</w:t>
            </w:r>
          </w:p>
        </w:tc>
        <w:tc>
          <w:tcPr>
            <w:tcW w:w="1127" w:type="dxa"/>
            <w:tcBorders>
              <w:left w:val="single" w:sz="4" w:space="0" w:color="7F7F7F"/>
            </w:tcBorders>
            <w:noWrap/>
            <w:hideMark/>
          </w:tcPr>
          <w:p w14:paraId="51DD83CF" w14:textId="5112B569"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$238,148</w:t>
            </w:r>
          </w:p>
        </w:tc>
        <w:tc>
          <w:tcPr>
            <w:tcW w:w="1127" w:type="dxa"/>
            <w:noWrap/>
            <w:hideMark/>
          </w:tcPr>
          <w:p w14:paraId="3A1673DE" w14:textId="55C65E2D"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-$48,003</w:t>
            </w:r>
          </w:p>
        </w:tc>
        <w:tc>
          <w:tcPr>
            <w:tcW w:w="1219" w:type="dxa"/>
            <w:tcBorders>
              <w:right w:val="single" w:sz="4" w:space="0" w:color="7F7F7F"/>
            </w:tcBorders>
            <w:noWrap/>
            <w:hideMark/>
          </w:tcPr>
          <w:p w14:paraId="0A67D30F" w14:textId="3617C6CE"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$524,299</w:t>
            </w:r>
          </w:p>
        </w:tc>
        <w:tc>
          <w:tcPr>
            <w:tcW w:w="1127" w:type="dxa"/>
            <w:tcBorders>
              <w:left w:val="single" w:sz="4" w:space="0" w:color="7F7F7F"/>
            </w:tcBorders>
            <w:noWrap/>
            <w:hideMark/>
          </w:tcPr>
          <w:p w14:paraId="4C189DE5" w14:textId="3996635B"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880057">
              <w:rPr>
                <w:sz w:val="18"/>
                <w:szCs w:val="18"/>
              </w:rPr>
              <w:t>$9,966,407</w:t>
            </w:r>
          </w:p>
        </w:tc>
        <w:tc>
          <w:tcPr>
            <w:tcW w:w="1036" w:type="dxa"/>
            <w:noWrap/>
            <w:hideMark/>
          </w:tcPr>
          <w:p w14:paraId="676E43EA" w14:textId="596E5E9E"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880057">
              <w:rPr>
                <w:sz w:val="18"/>
                <w:szCs w:val="18"/>
              </w:rPr>
              <w:t>$2,500,940</w:t>
            </w:r>
          </w:p>
        </w:tc>
        <w:tc>
          <w:tcPr>
            <w:tcW w:w="1127" w:type="dxa"/>
            <w:noWrap/>
            <w:hideMark/>
          </w:tcPr>
          <w:p w14:paraId="0C304D2A" w14:textId="7A30B4F4"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880057">
              <w:rPr>
                <w:sz w:val="18"/>
                <w:szCs w:val="18"/>
              </w:rPr>
              <w:t>$17,431,873</w:t>
            </w:r>
          </w:p>
        </w:tc>
      </w:tr>
      <w:tr w:rsidR="00880057" w:rsidRPr="00CE304A" w14:paraId="548B2C38" w14:textId="77777777" w:rsidTr="001B23C9">
        <w:trPr>
          <w:trHeight w:val="245"/>
        </w:trPr>
        <w:tc>
          <w:tcPr>
            <w:cnfStyle w:val="001000000000" w:firstRow="0" w:lastRow="0" w:firstColumn="1" w:lastColumn="0" w:oddVBand="0" w:evenVBand="0" w:oddHBand="0" w:evenHBand="0" w:firstRowFirstColumn="0" w:firstRowLastColumn="0" w:lastRowFirstColumn="0" w:lastRowLastColumn="0"/>
            <w:tcW w:w="589" w:type="dxa"/>
            <w:noWrap/>
            <w:hideMark/>
          </w:tcPr>
          <w:p w14:paraId="71C4EABD" w14:textId="77777777" w:rsidR="00C327E5" w:rsidRPr="001C2012" w:rsidRDefault="00C327E5" w:rsidP="001C2012">
            <w:pPr>
              <w:pStyle w:val="NoSpacing1"/>
              <w:rPr>
                <w:b w:val="0"/>
                <w:sz w:val="18"/>
                <w:szCs w:val="18"/>
              </w:rPr>
            </w:pPr>
            <w:r w:rsidRPr="001C2012">
              <w:rPr>
                <w:sz w:val="18"/>
                <w:szCs w:val="18"/>
              </w:rPr>
              <w:t>2014</w:t>
            </w:r>
          </w:p>
        </w:tc>
        <w:tc>
          <w:tcPr>
            <w:tcW w:w="1536" w:type="dxa"/>
            <w:noWrap/>
            <w:vAlign w:val="bottom"/>
            <w:hideMark/>
          </w:tcPr>
          <w:p w14:paraId="2A6E5B75" w14:textId="77777777" w:rsidR="00C327E5" w:rsidRPr="00873B6C" w:rsidRDefault="00C327E5" w:rsidP="001C2012">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1308" w:type="dxa"/>
            <w:noWrap/>
            <w:vAlign w:val="bottom"/>
            <w:hideMark/>
          </w:tcPr>
          <w:p w14:paraId="66B768A6" w14:textId="77777777" w:rsidR="00C327E5" w:rsidRPr="00873B6C" w:rsidRDefault="00C327E5" w:rsidP="001C2012">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1536" w:type="dxa"/>
            <w:tcBorders>
              <w:right w:val="single" w:sz="4" w:space="0" w:color="7F7F7F"/>
            </w:tcBorders>
            <w:noWrap/>
            <w:vAlign w:val="bottom"/>
            <w:hideMark/>
          </w:tcPr>
          <w:p w14:paraId="25369DA5" w14:textId="77777777" w:rsidR="00C327E5" w:rsidRPr="00873B6C" w:rsidRDefault="00C327E5" w:rsidP="001C2012">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1127" w:type="dxa"/>
            <w:tcBorders>
              <w:left w:val="single" w:sz="4" w:space="0" w:color="7F7F7F"/>
            </w:tcBorders>
            <w:noWrap/>
            <w:hideMark/>
          </w:tcPr>
          <w:p w14:paraId="3B4A87A7" w14:textId="77777777" w:rsidR="00C327E5" w:rsidRPr="00873B6C" w:rsidRDefault="00C327E5" w:rsidP="001C2012">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1127" w:type="dxa"/>
            <w:noWrap/>
            <w:hideMark/>
          </w:tcPr>
          <w:p w14:paraId="3542DACD" w14:textId="77777777" w:rsidR="00C327E5" w:rsidRPr="00873B6C" w:rsidRDefault="00C327E5" w:rsidP="001C2012">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1219" w:type="dxa"/>
            <w:tcBorders>
              <w:right w:val="single" w:sz="4" w:space="0" w:color="7F7F7F"/>
            </w:tcBorders>
            <w:noWrap/>
            <w:hideMark/>
          </w:tcPr>
          <w:p w14:paraId="60D0A8BD" w14:textId="77777777" w:rsidR="00C327E5" w:rsidRPr="00873B6C" w:rsidRDefault="00C327E5" w:rsidP="001C2012">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1127" w:type="dxa"/>
            <w:tcBorders>
              <w:left w:val="single" w:sz="4" w:space="0" w:color="7F7F7F"/>
            </w:tcBorders>
            <w:noWrap/>
            <w:hideMark/>
          </w:tcPr>
          <w:p w14:paraId="3FE63254" w14:textId="77777777" w:rsidR="00C327E5" w:rsidRPr="00880057"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1036" w:type="dxa"/>
            <w:noWrap/>
            <w:hideMark/>
          </w:tcPr>
          <w:p w14:paraId="7D2587EB" w14:textId="77777777" w:rsidR="00C327E5" w:rsidRPr="00880057"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1127" w:type="dxa"/>
            <w:noWrap/>
            <w:hideMark/>
          </w:tcPr>
          <w:p w14:paraId="23DC468C" w14:textId="77777777" w:rsidR="00C327E5" w:rsidRPr="00880057"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r>
      <w:tr w:rsidR="00880057" w:rsidRPr="00CE304A" w14:paraId="50902AD7" w14:textId="77777777" w:rsidTr="001B23C9">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589" w:type="dxa"/>
            <w:noWrap/>
            <w:hideMark/>
          </w:tcPr>
          <w:p w14:paraId="7A2C457E" w14:textId="77777777" w:rsidR="00880057" w:rsidRPr="001C2012" w:rsidRDefault="00880057" w:rsidP="00880057">
            <w:pPr>
              <w:pStyle w:val="NoSpacing1"/>
              <w:rPr>
                <w:b w:val="0"/>
                <w:sz w:val="18"/>
                <w:szCs w:val="18"/>
              </w:rPr>
            </w:pPr>
            <w:r w:rsidRPr="001C2012">
              <w:rPr>
                <w:sz w:val="18"/>
                <w:szCs w:val="18"/>
              </w:rPr>
              <w:t>40</w:t>
            </w:r>
          </w:p>
        </w:tc>
        <w:tc>
          <w:tcPr>
            <w:tcW w:w="1536" w:type="dxa"/>
            <w:noWrap/>
            <w:hideMark/>
          </w:tcPr>
          <w:p w14:paraId="0F72FB39" w14:textId="56F88338"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$12,471,234,255</w:t>
            </w:r>
          </w:p>
        </w:tc>
        <w:tc>
          <w:tcPr>
            <w:tcW w:w="1308" w:type="dxa"/>
            <w:noWrap/>
            <w:hideMark/>
          </w:tcPr>
          <w:p w14:paraId="491C6457" w14:textId="16CEF0E9"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$163,240,374</w:t>
            </w:r>
          </w:p>
        </w:tc>
        <w:tc>
          <w:tcPr>
            <w:tcW w:w="1536" w:type="dxa"/>
            <w:tcBorders>
              <w:right w:val="single" w:sz="4" w:space="0" w:color="7F7F7F"/>
            </w:tcBorders>
            <w:noWrap/>
            <w:hideMark/>
          </w:tcPr>
          <w:p w14:paraId="61424501" w14:textId="1BFCCDE6"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$24,779,228,136</w:t>
            </w:r>
          </w:p>
        </w:tc>
        <w:tc>
          <w:tcPr>
            <w:tcW w:w="1127" w:type="dxa"/>
            <w:tcBorders>
              <w:left w:val="single" w:sz="4" w:space="0" w:color="7F7F7F"/>
            </w:tcBorders>
            <w:noWrap/>
            <w:hideMark/>
          </w:tcPr>
          <w:p w14:paraId="465E2AAE" w14:textId="49329A3D"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$495,992</w:t>
            </w:r>
          </w:p>
        </w:tc>
        <w:tc>
          <w:tcPr>
            <w:tcW w:w="1127" w:type="dxa"/>
            <w:noWrap/>
            <w:hideMark/>
          </w:tcPr>
          <w:p w14:paraId="25981D98" w14:textId="3553E1FD"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-$99,509</w:t>
            </w:r>
          </w:p>
        </w:tc>
        <w:tc>
          <w:tcPr>
            <w:tcW w:w="1219" w:type="dxa"/>
            <w:tcBorders>
              <w:right w:val="single" w:sz="4" w:space="0" w:color="7F7F7F"/>
            </w:tcBorders>
            <w:noWrap/>
            <w:hideMark/>
          </w:tcPr>
          <w:p w14:paraId="57B41587" w14:textId="6E1179DA"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$1,091,493</w:t>
            </w:r>
          </w:p>
        </w:tc>
        <w:tc>
          <w:tcPr>
            <w:tcW w:w="1127" w:type="dxa"/>
            <w:tcBorders>
              <w:left w:val="single" w:sz="4" w:space="0" w:color="7F7F7F"/>
            </w:tcBorders>
            <w:noWrap/>
            <w:hideMark/>
          </w:tcPr>
          <w:p w14:paraId="32AAB68F" w14:textId="399AE183"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880057">
              <w:rPr>
                <w:sz w:val="18"/>
                <w:szCs w:val="18"/>
              </w:rPr>
              <w:t>$20,674,349</w:t>
            </w:r>
          </w:p>
        </w:tc>
        <w:tc>
          <w:tcPr>
            <w:tcW w:w="1036" w:type="dxa"/>
            <w:noWrap/>
            <w:hideMark/>
          </w:tcPr>
          <w:p w14:paraId="5A2A4F9C" w14:textId="05CA3596"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880057">
              <w:rPr>
                <w:sz w:val="18"/>
                <w:szCs w:val="18"/>
              </w:rPr>
              <w:t>$5,382,028</w:t>
            </w:r>
          </w:p>
        </w:tc>
        <w:tc>
          <w:tcPr>
            <w:tcW w:w="1127" w:type="dxa"/>
            <w:noWrap/>
            <w:hideMark/>
          </w:tcPr>
          <w:p w14:paraId="243CEE56" w14:textId="39766A8C"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880057">
              <w:rPr>
                <w:sz w:val="18"/>
                <w:szCs w:val="18"/>
              </w:rPr>
              <w:t>$35,966,671</w:t>
            </w:r>
          </w:p>
        </w:tc>
      </w:tr>
      <w:tr w:rsidR="00880057" w:rsidRPr="00CE304A" w14:paraId="5051037C" w14:textId="77777777" w:rsidTr="001B23C9">
        <w:trPr>
          <w:trHeight w:val="245"/>
        </w:trPr>
        <w:tc>
          <w:tcPr>
            <w:cnfStyle w:val="001000000000" w:firstRow="0" w:lastRow="0" w:firstColumn="1" w:lastColumn="0" w:oddVBand="0" w:evenVBand="0" w:oddHBand="0" w:evenHBand="0" w:firstRowFirstColumn="0" w:firstRowLastColumn="0" w:lastRowFirstColumn="0" w:lastRowLastColumn="0"/>
            <w:tcW w:w="589" w:type="dxa"/>
            <w:noWrap/>
            <w:hideMark/>
          </w:tcPr>
          <w:p w14:paraId="45C84C87" w14:textId="77777777" w:rsidR="00880057" w:rsidRPr="001C2012" w:rsidRDefault="00880057" w:rsidP="00880057">
            <w:pPr>
              <w:pStyle w:val="NoSpacing1"/>
              <w:rPr>
                <w:b w:val="0"/>
                <w:sz w:val="18"/>
                <w:szCs w:val="18"/>
              </w:rPr>
            </w:pPr>
            <w:r w:rsidRPr="001C2012">
              <w:rPr>
                <w:sz w:val="18"/>
                <w:szCs w:val="18"/>
              </w:rPr>
              <w:t>65</w:t>
            </w:r>
          </w:p>
        </w:tc>
        <w:tc>
          <w:tcPr>
            <w:tcW w:w="1536" w:type="dxa"/>
            <w:noWrap/>
            <w:hideMark/>
          </w:tcPr>
          <w:p w14:paraId="302CA964" w14:textId="4C73AD52" w:rsidR="00880057" w:rsidRPr="00873B6C"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873B6C">
              <w:rPr>
                <w:sz w:val="18"/>
                <w:szCs w:val="18"/>
              </w:rPr>
              <w:t>$7,950,936,124</w:t>
            </w:r>
          </w:p>
        </w:tc>
        <w:tc>
          <w:tcPr>
            <w:tcW w:w="1308" w:type="dxa"/>
            <w:noWrap/>
            <w:hideMark/>
          </w:tcPr>
          <w:p w14:paraId="3C6B2CB5" w14:textId="0CCD088C" w:rsidR="00880057" w:rsidRPr="00873B6C"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873B6C">
              <w:rPr>
                <w:sz w:val="18"/>
                <w:szCs w:val="18"/>
              </w:rPr>
              <w:t>$114,978,588</w:t>
            </w:r>
          </w:p>
        </w:tc>
        <w:tc>
          <w:tcPr>
            <w:tcW w:w="1536" w:type="dxa"/>
            <w:tcBorders>
              <w:right w:val="single" w:sz="4" w:space="0" w:color="7F7F7F"/>
            </w:tcBorders>
            <w:noWrap/>
            <w:hideMark/>
          </w:tcPr>
          <w:p w14:paraId="769EEB40" w14:textId="30CD8999" w:rsidR="00880057" w:rsidRPr="00873B6C"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873B6C">
              <w:rPr>
                <w:sz w:val="18"/>
                <w:szCs w:val="18"/>
              </w:rPr>
              <w:t>$15,786,893,660</w:t>
            </w:r>
          </w:p>
        </w:tc>
        <w:tc>
          <w:tcPr>
            <w:tcW w:w="1127" w:type="dxa"/>
            <w:tcBorders>
              <w:left w:val="single" w:sz="4" w:space="0" w:color="7F7F7F"/>
            </w:tcBorders>
            <w:noWrap/>
            <w:hideMark/>
          </w:tcPr>
          <w:p w14:paraId="49B3EBBD" w14:textId="2F7CA352" w:rsidR="00880057" w:rsidRPr="00873B6C"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873B6C">
              <w:rPr>
                <w:sz w:val="18"/>
                <w:szCs w:val="18"/>
              </w:rPr>
              <w:t>$347,812</w:t>
            </w:r>
          </w:p>
        </w:tc>
        <w:tc>
          <w:tcPr>
            <w:tcW w:w="1127" w:type="dxa"/>
            <w:noWrap/>
            <w:hideMark/>
          </w:tcPr>
          <w:p w14:paraId="1667844F" w14:textId="5B9255D5" w:rsidR="00880057" w:rsidRPr="00873B6C"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873B6C">
              <w:rPr>
                <w:sz w:val="18"/>
                <w:szCs w:val="18"/>
              </w:rPr>
              <w:t>-$69,830</w:t>
            </w:r>
          </w:p>
        </w:tc>
        <w:tc>
          <w:tcPr>
            <w:tcW w:w="1219" w:type="dxa"/>
            <w:tcBorders>
              <w:right w:val="single" w:sz="4" w:space="0" w:color="7F7F7F"/>
            </w:tcBorders>
            <w:noWrap/>
            <w:hideMark/>
          </w:tcPr>
          <w:p w14:paraId="1C4B8B97" w14:textId="17F3AC71" w:rsidR="00880057" w:rsidRPr="00873B6C"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873B6C">
              <w:rPr>
                <w:sz w:val="18"/>
                <w:szCs w:val="18"/>
              </w:rPr>
              <w:t>$765,455</w:t>
            </w:r>
          </w:p>
        </w:tc>
        <w:tc>
          <w:tcPr>
            <w:tcW w:w="1127" w:type="dxa"/>
            <w:tcBorders>
              <w:left w:val="single" w:sz="4" w:space="0" w:color="7F7F7F"/>
            </w:tcBorders>
            <w:noWrap/>
            <w:hideMark/>
          </w:tcPr>
          <w:p w14:paraId="1936DEDF" w14:textId="0EE25966"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880057">
              <w:rPr>
                <w:sz w:val="18"/>
                <w:szCs w:val="18"/>
              </w:rPr>
              <w:t>$13,264,398</w:t>
            </w:r>
          </w:p>
        </w:tc>
        <w:tc>
          <w:tcPr>
            <w:tcW w:w="1036" w:type="dxa"/>
            <w:noWrap/>
            <w:hideMark/>
          </w:tcPr>
          <w:p w14:paraId="6910E1A2" w14:textId="1C8C5E0C"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880057">
              <w:rPr>
                <w:sz w:val="18"/>
                <w:szCs w:val="18"/>
              </w:rPr>
              <w:t>$3,388,041</w:t>
            </w:r>
          </w:p>
        </w:tc>
        <w:tc>
          <w:tcPr>
            <w:tcW w:w="1127" w:type="dxa"/>
            <w:noWrap/>
            <w:hideMark/>
          </w:tcPr>
          <w:p w14:paraId="47ACEEC6" w14:textId="5000AA7B"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880057">
              <w:rPr>
                <w:sz w:val="18"/>
                <w:szCs w:val="18"/>
              </w:rPr>
              <w:t>$23,140,755</w:t>
            </w:r>
          </w:p>
        </w:tc>
      </w:tr>
      <w:tr w:rsidR="00880057" w:rsidRPr="00CE304A" w14:paraId="7844DD72" w14:textId="77777777" w:rsidTr="001B23C9">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589" w:type="dxa"/>
            <w:noWrap/>
            <w:hideMark/>
          </w:tcPr>
          <w:p w14:paraId="4EFF98EB" w14:textId="77777777" w:rsidR="00880057" w:rsidRPr="001C2012" w:rsidRDefault="00880057" w:rsidP="00880057">
            <w:pPr>
              <w:pStyle w:val="NoSpacing1"/>
              <w:rPr>
                <w:b w:val="0"/>
                <w:sz w:val="18"/>
                <w:szCs w:val="18"/>
              </w:rPr>
            </w:pPr>
            <w:r w:rsidRPr="001C2012">
              <w:rPr>
                <w:sz w:val="18"/>
                <w:szCs w:val="18"/>
              </w:rPr>
              <w:t>70</w:t>
            </w:r>
          </w:p>
        </w:tc>
        <w:tc>
          <w:tcPr>
            <w:tcW w:w="1536" w:type="dxa"/>
            <w:noWrap/>
            <w:hideMark/>
          </w:tcPr>
          <w:p w14:paraId="3E9A464A" w14:textId="582488E6"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$3,676,306,592</w:t>
            </w:r>
          </w:p>
        </w:tc>
        <w:tc>
          <w:tcPr>
            <w:tcW w:w="1308" w:type="dxa"/>
            <w:noWrap/>
            <w:hideMark/>
          </w:tcPr>
          <w:p w14:paraId="3F875355" w14:textId="0CA4C2FD"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$52,454,418</w:t>
            </w:r>
          </w:p>
        </w:tc>
        <w:tc>
          <w:tcPr>
            <w:tcW w:w="1536" w:type="dxa"/>
            <w:tcBorders>
              <w:right w:val="single" w:sz="4" w:space="0" w:color="7F7F7F"/>
            </w:tcBorders>
            <w:noWrap/>
            <w:hideMark/>
          </w:tcPr>
          <w:p w14:paraId="4594C489" w14:textId="27D918D0"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$7,300,158,766</w:t>
            </w:r>
          </w:p>
        </w:tc>
        <w:tc>
          <w:tcPr>
            <w:tcW w:w="1127" w:type="dxa"/>
            <w:tcBorders>
              <w:left w:val="single" w:sz="4" w:space="0" w:color="7F7F7F"/>
            </w:tcBorders>
            <w:noWrap/>
            <w:hideMark/>
          </w:tcPr>
          <w:p w14:paraId="7744A1BE" w14:textId="7A2B1947"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$189,667</w:t>
            </w:r>
          </w:p>
        </w:tc>
        <w:tc>
          <w:tcPr>
            <w:tcW w:w="1127" w:type="dxa"/>
            <w:noWrap/>
            <w:hideMark/>
          </w:tcPr>
          <w:p w14:paraId="1EFDFE65" w14:textId="6275BBC4"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-$38,234</w:t>
            </w:r>
          </w:p>
        </w:tc>
        <w:tc>
          <w:tcPr>
            <w:tcW w:w="1219" w:type="dxa"/>
            <w:tcBorders>
              <w:right w:val="single" w:sz="4" w:space="0" w:color="7F7F7F"/>
            </w:tcBorders>
            <w:noWrap/>
            <w:hideMark/>
          </w:tcPr>
          <w:p w14:paraId="111532A6" w14:textId="59B13B86"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$417,568</w:t>
            </w:r>
          </w:p>
        </w:tc>
        <w:tc>
          <w:tcPr>
            <w:tcW w:w="1127" w:type="dxa"/>
            <w:tcBorders>
              <w:left w:val="single" w:sz="4" w:space="0" w:color="7F7F7F"/>
            </w:tcBorders>
            <w:noWrap/>
            <w:hideMark/>
          </w:tcPr>
          <w:p w14:paraId="7544C87E" w14:textId="44990C65"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880057">
              <w:rPr>
                <w:sz w:val="18"/>
                <w:szCs w:val="18"/>
              </w:rPr>
              <w:t>$6,147,040</w:t>
            </w:r>
          </w:p>
        </w:tc>
        <w:tc>
          <w:tcPr>
            <w:tcW w:w="1036" w:type="dxa"/>
            <w:noWrap/>
            <w:hideMark/>
          </w:tcPr>
          <w:p w14:paraId="6ACC80D5" w14:textId="3E7D651E"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880057">
              <w:rPr>
                <w:sz w:val="18"/>
                <w:szCs w:val="18"/>
              </w:rPr>
              <w:t>$1,604,490</w:t>
            </w:r>
          </w:p>
        </w:tc>
        <w:tc>
          <w:tcPr>
            <w:tcW w:w="1127" w:type="dxa"/>
            <w:noWrap/>
            <w:hideMark/>
          </w:tcPr>
          <w:p w14:paraId="42775D58" w14:textId="6B9D1559"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880057">
              <w:rPr>
                <w:sz w:val="18"/>
                <w:szCs w:val="18"/>
              </w:rPr>
              <w:t>$10,689,590</w:t>
            </w:r>
          </w:p>
        </w:tc>
      </w:tr>
      <w:tr w:rsidR="00880057" w:rsidRPr="00CE304A" w14:paraId="40BA6A53" w14:textId="77777777" w:rsidTr="001B23C9">
        <w:trPr>
          <w:trHeight w:val="245"/>
        </w:trPr>
        <w:tc>
          <w:tcPr>
            <w:cnfStyle w:val="001000000000" w:firstRow="0" w:lastRow="0" w:firstColumn="1" w:lastColumn="0" w:oddVBand="0" w:evenVBand="0" w:oddHBand="0" w:evenHBand="0" w:firstRowFirstColumn="0" w:firstRowLastColumn="0" w:lastRowFirstColumn="0" w:lastRowLastColumn="0"/>
            <w:tcW w:w="589" w:type="dxa"/>
            <w:noWrap/>
            <w:hideMark/>
          </w:tcPr>
          <w:p w14:paraId="04F04E83" w14:textId="77777777" w:rsidR="00880057" w:rsidRPr="001C2012" w:rsidRDefault="00880057" w:rsidP="00880057">
            <w:pPr>
              <w:pStyle w:val="NoSpacing1"/>
              <w:rPr>
                <w:b w:val="0"/>
                <w:sz w:val="18"/>
                <w:szCs w:val="18"/>
              </w:rPr>
            </w:pPr>
            <w:r w:rsidRPr="001C2012">
              <w:rPr>
                <w:sz w:val="18"/>
                <w:szCs w:val="18"/>
              </w:rPr>
              <w:t>2015</w:t>
            </w:r>
          </w:p>
        </w:tc>
        <w:tc>
          <w:tcPr>
            <w:tcW w:w="1536" w:type="dxa"/>
            <w:noWrap/>
            <w:vAlign w:val="bottom"/>
            <w:hideMark/>
          </w:tcPr>
          <w:p w14:paraId="1200A0E1" w14:textId="77777777" w:rsidR="00880057" w:rsidRPr="00873B6C"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1308" w:type="dxa"/>
            <w:noWrap/>
            <w:vAlign w:val="bottom"/>
            <w:hideMark/>
          </w:tcPr>
          <w:p w14:paraId="3D288E70" w14:textId="77777777" w:rsidR="00880057" w:rsidRPr="00873B6C"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1536" w:type="dxa"/>
            <w:tcBorders>
              <w:right w:val="single" w:sz="4" w:space="0" w:color="7F7F7F"/>
            </w:tcBorders>
            <w:noWrap/>
            <w:vAlign w:val="bottom"/>
            <w:hideMark/>
          </w:tcPr>
          <w:p w14:paraId="57ED2917" w14:textId="77777777" w:rsidR="00880057" w:rsidRPr="00873B6C"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1127" w:type="dxa"/>
            <w:tcBorders>
              <w:left w:val="single" w:sz="4" w:space="0" w:color="7F7F7F"/>
            </w:tcBorders>
            <w:noWrap/>
            <w:hideMark/>
          </w:tcPr>
          <w:p w14:paraId="404E3F5B" w14:textId="77777777" w:rsidR="00880057" w:rsidRPr="00873B6C"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1127" w:type="dxa"/>
            <w:noWrap/>
            <w:hideMark/>
          </w:tcPr>
          <w:p w14:paraId="14E16465" w14:textId="77777777" w:rsidR="00880057" w:rsidRPr="00873B6C"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1219" w:type="dxa"/>
            <w:tcBorders>
              <w:right w:val="single" w:sz="4" w:space="0" w:color="7F7F7F"/>
            </w:tcBorders>
            <w:noWrap/>
            <w:hideMark/>
          </w:tcPr>
          <w:p w14:paraId="25D54478" w14:textId="77777777" w:rsidR="00880057" w:rsidRPr="00873B6C"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1127" w:type="dxa"/>
            <w:tcBorders>
              <w:left w:val="single" w:sz="4" w:space="0" w:color="7F7F7F"/>
            </w:tcBorders>
            <w:noWrap/>
          </w:tcPr>
          <w:p w14:paraId="01B077E7" w14:textId="504283F3"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1036" w:type="dxa"/>
            <w:noWrap/>
          </w:tcPr>
          <w:p w14:paraId="69F49742" w14:textId="0ACC0758"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1127" w:type="dxa"/>
            <w:noWrap/>
          </w:tcPr>
          <w:p w14:paraId="675B9D9C" w14:textId="5E9EBD2B"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r>
      <w:tr w:rsidR="00880057" w:rsidRPr="00CE304A" w14:paraId="149B28A2" w14:textId="77777777" w:rsidTr="001B23C9">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589" w:type="dxa"/>
            <w:noWrap/>
            <w:hideMark/>
          </w:tcPr>
          <w:p w14:paraId="4A8DC745" w14:textId="77777777" w:rsidR="00880057" w:rsidRPr="001C2012" w:rsidRDefault="00880057" w:rsidP="00880057">
            <w:pPr>
              <w:pStyle w:val="NoSpacing1"/>
              <w:rPr>
                <w:b w:val="0"/>
                <w:sz w:val="18"/>
                <w:szCs w:val="18"/>
              </w:rPr>
            </w:pPr>
            <w:r w:rsidRPr="001C2012">
              <w:rPr>
                <w:sz w:val="18"/>
                <w:szCs w:val="18"/>
              </w:rPr>
              <w:t>40</w:t>
            </w:r>
          </w:p>
        </w:tc>
        <w:tc>
          <w:tcPr>
            <w:tcW w:w="1536" w:type="dxa"/>
            <w:noWrap/>
            <w:hideMark/>
          </w:tcPr>
          <w:p w14:paraId="3C228918" w14:textId="76A2DC86"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$13,526,233,880</w:t>
            </w:r>
          </w:p>
        </w:tc>
        <w:tc>
          <w:tcPr>
            <w:tcW w:w="1308" w:type="dxa"/>
            <w:noWrap/>
            <w:hideMark/>
          </w:tcPr>
          <w:p w14:paraId="13F22E32" w14:textId="60F2FC62"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$202,842,248</w:t>
            </w:r>
          </w:p>
        </w:tc>
        <w:tc>
          <w:tcPr>
            <w:tcW w:w="1536" w:type="dxa"/>
            <w:tcBorders>
              <w:right w:val="single" w:sz="4" w:space="0" w:color="7F7F7F"/>
            </w:tcBorders>
            <w:noWrap/>
            <w:hideMark/>
          </w:tcPr>
          <w:p w14:paraId="4CE2EAC9" w14:textId="64C9379B"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$26,849,625,512</w:t>
            </w:r>
          </w:p>
        </w:tc>
        <w:tc>
          <w:tcPr>
            <w:tcW w:w="1127" w:type="dxa"/>
            <w:tcBorders>
              <w:left w:val="single" w:sz="4" w:space="0" w:color="7F7F7F"/>
            </w:tcBorders>
            <w:noWrap/>
            <w:hideMark/>
          </w:tcPr>
          <w:p w14:paraId="38560AD2" w14:textId="7F455E0A"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$600,523</w:t>
            </w:r>
          </w:p>
        </w:tc>
        <w:tc>
          <w:tcPr>
            <w:tcW w:w="1127" w:type="dxa"/>
            <w:noWrap/>
            <w:hideMark/>
          </w:tcPr>
          <w:p w14:paraId="57E9E00C" w14:textId="2335A816"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-$119,090</w:t>
            </w:r>
          </w:p>
        </w:tc>
        <w:tc>
          <w:tcPr>
            <w:tcW w:w="1219" w:type="dxa"/>
            <w:tcBorders>
              <w:right w:val="single" w:sz="4" w:space="0" w:color="7F7F7F"/>
            </w:tcBorders>
            <w:noWrap/>
            <w:hideMark/>
          </w:tcPr>
          <w:p w14:paraId="42450A52" w14:textId="5C7E109C"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$1,320,137</w:t>
            </w:r>
          </w:p>
        </w:tc>
        <w:tc>
          <w:tcPr>
            <w:tcW w:w="1127" w:type="dxa"/>
            <w:tcBorders>
              <w:left w:val="single" w:sz="4" w:space="0" w:color="7F7F7F"/>
            </w:tcBorders>
            <w:noWrap/>
            <w:hideMark/>
          </w:tcPr>
          <w:p w14:paraId="6DA9BD15" w14:textId="0448F54A"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880057">
              <w:rPr>
                <w:sz w:val="18"/>
                <w:szCs w:val="18"/>
              </w:rPr>
              <w:t>$25,622,879</w:t>
            </w:r>
          </w:p>
        </w:tc>
        <w:tc>
          <w:tcPr>
            <w:tcW w:w="1036" w:type="dxa"/>
            <w:noWrap/>
            <w:hideMark/>
          </w:tcPr>
          <w:p w14:paraId="23C7D1E8" w14:textId="7DF6D865"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880057">
              <w:rPr>
                <w:sz w:val="18"/>
                <w:szCs w:val="18"/>
              </w:rPr>
              <w:t>$6,657,492</w:t>
            </w:r>
          </w:p>
        </w:tc>
        <w:tc>
          <w:tcPr>
            <w:tcW w:w="1127" w:type="dxa"/>
            <w:noWrap/>
            <w:hideMark/>
          </w:tcPr>
          <w:p w14:paraId="43CC6DC0" w14:textId="01D88398"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880057">
              <w:rPr>
                <w:sz w:val="18"/>
                <w:szCs w:val="18"/>
              </w:rPr>
              <w:t>$44,588,266</w:t>
            </w:r>
          </w:p>
        </w:tc>
      </w:tr>
      <w:tr w:rsidR="00880057" w:rsidRPr="00CE304A" w14:paraId="0DA30CA6" w14:textId="77777777" w:rsidTr="001B23C9">
        <w:trPr>
          <w:trHeight w:val="245"/>
        </w:trPr>
        <w:tc>
          <w:tcPr>
            <w:cnfStyle w:val="001000000000" w:firstRow="0" w:lastRow="0" w:firstColumn="1" w:lastColumn="0" w:oddVBand="0" w:evenVBand="0" w:oddHBand="0" w:evenHBand="0" w:firstRowFirstColumn="0" w:firstRowLastColumn="0" w:lastRowFirstColumn="0" w:lastRowLastColumn="0"/>
            <w:tcW w:w="589" w:type="dxa"/>
            <w:noWrap/>
            <w:hideMark/>
          </w:tcPr>
          <w:p w14:paraId="1F728613" w14:textId="77777777" w:rsidR="00880057" w:rsidRPr="001C2012" w:rsidRDefault="00880057" w:rsidP="00880057">
            <w:pPr>
              <w:pStyle w:val="NoSpacing1"/>
              <w:rPr>
                <w:b w:val="0"/>
                <w:sz w:val="18"/>
                <w:szCs w:val="18"/>
              </w:rPr>
            </w:pPr>
            <w:r w:rsidRPr="001C2012">
              <w:rPr>
                <w:sz w:val="18"/>
                <w:szCs w:val="18"/>
              </w:rPr>
              <w:t>65</w:t>
            </w:r>
          </w:p>
        </w:tc>
        <w:tc>
          <w:tcPr>
            <w:tcW w:w="1536" w:type="dxa"/>
            <w:noWrap/>
            <w:vAlign w:val="bottom"/>
            <w:hideMark/>
          </w:tcPr>
          <w:p w14:paraId="078E5BBA" w14:textId="77777777" w:rsidR="00880057" w:rsidRPr="001C2012"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1C2012">
              <w:rPr>
                <w:sz w:val="18"/>
                <w:szCs w:val="18"/>
              </w:rPr>
              <w:t>$10,819,146,524</w:t>
            </w:r>
          </w:p>
        </w:tc>
        <w:tc>
          <w:tcPr>
            <w:tcW w:w="1308" w:type="dxa"/>
            <w:noWrap/>
            <w:vAlign w:val="bottom"/>
            <w:hideMark/>
          </w:tcPr>
          <w:p w14:paraId="7B61935B" w14:textId="77777777" w:rsidR="00880057" w:rsidRPr="001C2012"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1C2012">
              <w:rPr>
                <w:sz w:val="18"/>
                <w:szCs w:val="18"/>
              </w:rPr>
              <w:t>$160,019,168</w:t>
            </w:r>
          </w:p>
        </w:tc>
        <w:tc>
          <w:tcPr>
            <w:tcW w:w="1536" w:type="dxa"/>
            <w:tcBorders>
              <w:right w:val="single" w:sz="4" w:space="0" w:color="7F7F7F"/>
            </w:tcBorders>
            <w:noWrap/>
            <w:vAlign w:val="bottom"/>
            <w:hideMark/>
          </w:tcPr>
          <w:p w14:paraId="695F1160" w14:textId="77777777" w:rsidR="00880057" w:rsidRPr="001C2012"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1C2012">
              <w:rPr>
                <w:sz w:val="18"/>
                <w:szCs w:val="18"/>
              </w:rPr>
              <w:t>$21,478,273,880</w:t>
            </w:r>
          </w:p>
        </w:tc>
        <w:tc>
          <w:tcPr>
            <w:tcW w:w="1127" w:type="dxa"/>
            <w:tcBorders>
              <w:left w:val="single" w:sz="4" w:space="0" w:color="7F7F7F"/>
            </w:tcBorders>
            <w:noWrap/>
            <w:hideMark/>
          </w:tcPr>
          <w:p w14:paraId="7F2A91DF" w14:textId="77777777" w:rsidR="00880057" w:rsidRPr="001C2012"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1C2012">
              <w:rPr>
                <w:sz w:val="18"/>
                <w:szCs w:val="18"/>
              </w:rPr>
              <w:t>$490,483</w:t>
            </w:r>
          </w:p>
        </w:tc>
        <w:tc>
          <w:tcPr>
            <w:tcW w:w="1127" w:type="dxa"/>
            <w:noWrap/>
            <w:hideMark/>
          </w:tcPr>
          <w:p w14:paraId="1F2B1DD6" w14:textId="77777777" w:rsidR="00880057" w:rsidRPr="001C2012"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1C2012">
              <w:rPr>
                <w:sz w:val="18"/>
                <w:szCs w:val="18"/>
              </w:rPr>
              <w:t>-$97,806</w:t>
            </w:r>
          </w:p>
        </w:tc>
        <w:tc>
          <w:tcPr>
            <w:tcW w:w="1219" w:type="dxa"/>
            <w:tcBorders>
              <w:right w:val="single" w:sz="4" w:space="0" w:color="7F7F7F"/>
            </w:tcBorders>
            <w:noWrap/>
            <w:hideMark/>
          </w:tcPr>
          <w:p w14:paraId="54245E1A" w14:textId="77777777" w:rsidR="00880057" w:rsidRPr="001C2012"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1C2012">
              <w:rPr>
                <w:sz w:val="18"/>
                <w:szCs w:val="18"/>
              </w:rPr>
              <w:t>$1,078,773</w:t>
            </w:r>
          </w:p>
        </w:tc>
        <w:tc>
          <w:tcPr>
            <w:tcW w:w="1127" w:type="dxa"/>
            <w:tcBorders>
              <w:left w:val="single" w:sz="4" w:space="0" w:color="7F7F7F"/>
            </w:tcBorders>
            <w:noWrap/>
            <w:hideMark/>
          </w:tcPr>
          <w:p w14:paraId="123AF09A" w14:textId="6A3D1D15"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880057">
              <w:rPr>
                <w:sz w:val="18"/>
                <w:szCs w:val="18"/>
              </w:rPr>
              <w:t>$20,357,843</w:t>
            </w:r>
          </w:p>
        </w:tc>
        <w:tc>
          <w:tcPr>
            <w:tcW w:w="1036" w:type="dxa"/>
            <w:noWrap/>
            <w:hideMark/>
          </w:tcPr>
          <w:p w14:paraId="7A2CFFA9" w14:textId="459197AE"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880057">
              <w:rPr>
                <w:sz w:val="18"/>
                <w:szCs w:val="18"/>
              </w:rPr>
              <w:t>$5,265,817</w:t>
            </w:r>
          </w:p>
        </w:tc>
        <w:tc>
          <w:tcPr>
            <w:tcW w:w="1127" w:type="dxa"/>
            <w:noWrap/>
            <w:hideMark/>
          </w:tcPr>
          <w:p w14:paraId="2B58EDAF" w14:textId="7D74D203"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880057">
              <w:rPr>
                <w:sz w:val="18"/>
                <w:szCs w:val="18"/>
              </w:rPr>
              <w:t>$35,449,868</w:t>
            </w:r>
          </w:p>
        </w:tc>
      </w:tr>
      <w:tr w:rsidR="00880057" w:rsidRPr="00CE304A" w14:paraId="24D4FC67" w14:textId="77777777" w:rsidTr="001B23C9">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589" w:type="dxa"/>
            <w:noWrap/>
            <w:hideMark/>
          </w:tcPr>
          <w:p w14:paraId="4328E704" w14:textId="77777777" w:rsidR="00880057" w:rsidRPr="001C2012" w:rsidRDefault="00880057" w:rsidP="00880057">
            <w:pPr>
              <w:pStyle w:val="NoSpacing1"/>
              <w:rPr>
                <w:b w:val="0"/>
                <w:sz w:val="18"/>
                <w:szCs w:val="18"/>
              </w:rPr>
            </w:pPr>
            <w:r w:rsidRPr="001C2012">
              <w:rPr>
                <w:sz w:val="18"/>
                <w:szCs w:val="18"/>
              </w:rPr>
              <w:t>70</w:t>
            </w:r>
          </w:p>
        </w:tc>
        <w:tc>
          <w:tcPr>
            <w:tcW w:w="1536" w:type="dxa"/>
            <w:noWrap/>
            <w:vAlign w:val="bottom"/>
            <w:hideMark/>
          </w:tcPr>
          <w:p w14:paraId="13334C76" w14:textId="77777777"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1C2012">
              <w:rPr>
                <w:sz w:val="18"/>
                <w:szCs w:val="18"/>
              </w:rPr>
              <w:t>$8,669,561,586</w:t>
            </w:r>
          </w:p>
        </w:tc>
        <w:tc>
          <w:tcPr>
            <w:tcW w:w="1308" w:type="dxa"/>
            <w:noWrap/>
            <w:vAlign w:val="bottom"/>
            <w:hideMark/>
          </w:tcPr>
          <w:p w14:paraId="320913B3" w14:textId="77777777"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1C2012">
              <w:rPr>
                <w:sz w:val="18"/>
                <w:szCs w:val="18"/>
              </w:rPr>
              <w:t>$128,426,438</w:t>
            </w:r>
          </w:p>
        </w:tc>
        <w:tc>
          <w:tcPr>
            <w:tcW w:w="1536" w:type="dxa"/>
            <w:tcBorders>
              <w:right w:val="single" w:sz="4" w:space="0" w:color="7F7F7F"/>
            </w:tcBorders>
            <w:noWrap/>
            <w:vAlign w:val="bottom"/>
            <w:hideMark/>
          </w:tcPr>
          <w:p w14:paraId="214582C9" w14:textId="77777777"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1C2012">
              <w:rPr>
                <w:sz w:val="18"/>
                <w:szCs w:val="18"/>
              </w:rPr>
              <w:t>$17,210,696,734</w:t>
            </w:r>
          </w:p>
        </w:tc>
        <w:tc>
          <w:tcPr>
            <w:tcW w:w="1127" w:type="dxa"/>
            <w:tcBorders>
              <w:left w:val="single" w:sz="4" w:space="0" w:color="7F7F7F"/>
            </w:tcBorders>
            <w:noWrap/>
            <w:hideMark/>
          </w:tcPr>
          <w:p w14:paraId="02B71AD0" w14:textId="77777777"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1C2012">
              <w:rPr>
                <w:sz w:val="18"/>
                <w:szCs w:val="18"/>
              </w:rPr>
              <w:t>$436,934</w:t>
            </w:r>
          </w:p>
        </w:tc>
        <w:tc>
          <w:tcPr>
            <w:tcW w:w="1127" w:type="dxa"/>
            <w:noWrap/>
            <w:hideMark/>
          </w:tcPr>
          <w:p w14:paraId="458C3D1B" w14:textId="77777777"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1C2012">
              <w:rPr>
                <w:sz w:val="18"/>
                <w:szCs w:val="18"/>
              </w:rPr>
              <w:t>-$86,989</w:t>
            </w:r>
          </w:p>
        </w:tc>
        <w:tc>
          <w:tcPr>
            <w:tcW w:w="1219" w:type="dxa"/>
            <w:tcBorders>
              <w:right w:val="single" w:sz="4" w:space="0" w:color="7F7F7F"/>
            </w:tcBorders>
            <w:noWrap/>
            <w:hideMark/>
          </w:tcPr>
          <w:p w14:paraId="301120B5" w14:textId="77777777"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1C2012">
              <w:rPr>
                <w:sz w:val="18"/>
                <w:szCs w:val="18"/>
              </w:rPr>
              <w:t>$960,857</w:t>
            </w:r>
          </w:p>
        </w:tc>
        <w:tc>
          <w:tcPr>
            <w:tcW w:w="1127" w:type="dxa"/>
            <w:tcBorders>
              <w:left w:val="single" w:sz="4" w:space="0" w:color="7F7F7F"/>
            </w:tcBorders>
            <w:noWrap/>
            <w:hideMark/>
          </w:tcPr>
          <w:p w14:paraId="1C209FD1" w14:textId="05A9BB33"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880057">
              <w:rPr>
                <w:sz w:val="18"/>
                <w:szCs w:val="18"/>
              </w:rPr>
              <w:t>$16,439,036</w:t>
            </w:r>
          </w:p>
        </w:tc>
        <w:tc>
          <w:tcPr>
            <w:tcW w:w="1036" w:type="dxa"/>
            <w:noWrap/>
            <w:hideMark/>
          </w:tcPr>
          <w:p w14:paraId="2A9FC328" w14:textId="5B7F3B9D"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880057">
              <w:rPr>
                <w:sz w:val="18"/>
                <w:szCs w:val="18"/>
              </w:rPr>
              <w:t>$4,315,551</w:t>
            </w:r>
          </w:p>
        </w:tc>
        <w:tc>
          <w:tcPr>
            <w:tcW w:w="1127" w:type="dxa"/>
            <w:noWrap/>
            <w:hideMark/>
          </w:tcPr>
          <w:p w14:paraId="4E0EB224" w14:textId="3B1ED6B1"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880057">
              <w:rPr>
                <w:sz w:val="18"/>
                <w:szCs w:val="18"/>
              </w:rPr>
              <w:t>$28,562,521</w:t>
            </w:r>
          </w:p>
        </w:tc>
      </w:tr>
      <w:tr w:rsidR="00880057" w:rsidRPr="00CE304A" w14:paraId="3768D4CE" w14:textId="77777777" w:rsidTr="001B23C9">
        <w:trPr>
          <w:trHeight w:val="245"/>
        </w:trPr>
        <w:tc>
          <w:tcPr>
            <w:cnfStyle w:val="001000000000" w:firstRow="0" w:lastRow="0" w:firstColumn="1" w:lastColumn="0" w:oddVBand="0" w:evenVBand="0" w:oddHBand="0" w:evenHBand="0" w:firstRowFirstColumn="0" w:firstRowLastColumn="0" w:lastRowFirstColumn="0" w:lastRowLastColumn="0"/>
            <w:tcW w:w="589" w:type="dxa"/>
            <w:noWrap/>
            <w:hideMark/>
          </w:tcPr>
          <w:p w14:paraId="19E3AF6C" w14:textId="77777777" w:rsidR="00C327E5" w:rsidRPr="001C2012" w:rsidRDefault="00C327E5" w:rsidP="001C2012">
            <w:pPr>
              <w:pStyle w:val="NoSpacing1"/>
              <w:rPr>
                <w:b w:val="0"/>
                <w:sz w:val="18"/>
                <w:szCs w:val="18"/>
              </w:rPr>
            </w:pPr>
            <w:r w:rsidRPr="001C2012">
              <w:rPr>
                <w:sz w:val="18"/>
                <w:szCs w:val="18"/>
              </w:rPr>
              <w:t>2016</w:t>
            </w:r>
          </w:p>
        </w:tc>
        <w:tc>
          <w:tcPr>
            <w:tcW w:w="1536" w:type="dxa"/>
            <w:noWrap/>
            <w:vAlign w:val="bottom"/>
            <w:hideMark/>
          </w:tcPr>
          <w:p w14:paraId="4ECD77F5" w14:textId="77777777" w:rsidR="00C327E5" w:rsidRPr="001C2012" w:rsidRDefault="00C327E5" w:rsidP="001C2012">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1308" w:type="dxa"/>
            <w:noWrap/>
            <w:vAlign w:val="bottom"/>
            <w:hideMark/>
          </w:tcPr>
          <w:p w14:paraId="3B7FD4E9" w14:textId="77777777" w:rsidR="00C327E5" w:rsidRPr="001C2012" w:rsidRDefault="00C327E5" w:rsidP="001C2012">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1536" w:type="dxa"/>
            <w:tcBorders>
              <w:right w:val="single" w:sz="4" w:space="0" w:color="7F7F7F"/>
            </w:tcBorders>
            <w:noWrap/>
            <w:vAlign w:val="bottom"/>
            <w:hideMark/>
          </w:tcPr>
          <w:p w14:paraId="3217BF7E" w14:textId="77777777" w:rsidR="00C327E5" w:rsidRPr="001C2012" w:rsidRDefault="00C327E5" w:rsidP="001C2012">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1127" w:type="dxa"/>
            <w:tcBorders>
              <w:left w:val="single" w:sz="4" w:space="0" w:color="7F7F7F"/>
            </w:tcBorders>
            <w:noWrap/>
            <w:hideMark/>
          </w:tcPr>
          <w:p w14:paraId="541A1E3D" w14:textId="77777777" w:rsidR="00C327E5" w:rsidRPr="001C2012" w:rsidRDefault="00C327E5" w:rsidP="001C2012">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1127" w:type="dxa"/>
            <w:noWrap/>
            <w:hideMark/>
          </w:tcPr>
          <w:p w14:paraId="0906DF5B" w14:textId="77777777" w:rsidR="00C327E5" w:rsidRPr="001C2012" w:rsidRDefault="00C327E5" w:rsidP="001C2012">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1219" w:type="dxa"/>
            <w:tcBorders>
              <w:right w:val="single" w:sz="4" w:space="0" w:color="7F7F7F"/>
            </w:tcBorders>
            <w:noWrap/>
            <w:hideMark/>
          </w:tcPr>
          <w:p w14:paraId="67B36DB0" w14:textId="77777777" w:rsidR="00C327E5" w:rsidRPr="001C2012" w:rsidRDefault="00C327E5" w:rsidP="001C2012">
            <w:pPr>
              <w:pStyle w:val="NoSpacing1"/>
              <w:cnfStyle w:val="000000000000" w:firstRow="0" w:lastRow="0" w:firstColumn="0" w:lastColumn="0" w:oddVBand="0" w:evenVBand="0" w:oddHBand="0" w:evenHBand="0" w:firstRowFirstColumn="0" w:firstRowLastColumn="0" w:lastRowFirstColumn="0" w:lastRowLastColumn="0"/>
              <w:rPr>
                <w:sz w:val="18"/>
                <w:szCs w:val="18"/>
              </w:rPr>
            </w:pPr>
          </w:p>
        </w:tc>
        <w:tc>
          <w:tcPr>
            <w:tcW w:w="1127" w:type="dxa"/>
            <w:tcBorders>
              <w:left w:val="single" w:sz="4" w:space="0" w:color="7F7F7F"/>
            </w:tcBorders>
            <w:noWrap/>
            <w:hideMark/>
          </w:tcPr>
          <w:p w14:paraId="6983EBA7" w14:textId="77777777" w:rsidR="00C327E5" w:rsidRPr="00880057"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1036" w:type="dxa"/>
            <w:noWrap/>
            <w:hideMark/>
          </w:tcPr>
          <w:p w14:paraId="04F44308" w14:textId="77777777" w:rsidR="00C327E5" w:rsidRPr="00880057"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c>
          <w:tcPr>
            <w:tcW w:w="1127" w:type="dxa"/>
            <w:noWrap/>
            <w:hideMark/>
          </w:tcPr>
          <w:p w14:paraId="29BC49D2" w14:textId="77777777" w:rsidR="00C327E5" w:rsidRPr="00880057" w:rsidRDefault="00C327E5" w:rsidP="00C327E5">
            <w:pPr>
              <w:pStyle w:val="NoSpacing1"/>
              <w:cnfStyle w:val="000000000000" w:firstRow="0" w:lastRow="0" w:firstColumn="0" w:lastColumn="0" w:oddVBand="0" w:evenVBand="0" w:oddHBand="0" w:evenHBand="0" w:firstRowFirstColumn="0" w:firstRowLastColumn="0" w:lastRowFirstColumn="0" w:lastRowLastColumn="0"/>
              <w:rPr>
                <w:b/>
                <w:sz w:val="18"/>
                <w:szCs w:val="18"/>
              </w:rPr>
            </w:pPr>
          </w:p>
        </w:tc>
      </w:tr>
      <w:tr w:rsidR="00880057" w:rsidRPr="00CE304A" w14:paraId="4C452C86" w14:textId="77777777" w:rsidTr="001B23C9">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589" w:type="dxa"/>
            <w:noWrap/>
            <w:hideMark/>
          </w:tcPr>
          <w:p w14:paraId="4BB8C2AB" w14:textId="77777777" w:rsidR="00880057" w:rsidRPr="001C2012" w:rsidRDefault="00880057" w:rsidP="00880057">
            <w:pPr>
              <w:pStyle w:val="NoSpacing1"/>
              <w:rPr>
                <w:b w:val="0"/>
                <w:sz w:val="18"/>
                <w:szCs w:val="18"/>
              </w:rPr>
            </w:pPr>
            <w:r w:rsidRPr="001C2012">
              <w:rPr>
                <w:sz w:val="18"/>
                <w:szCs w:val="18"/>
              </w:rPr>
              <w:t>40</w:t>
            </w:r>
          </w:p>
        </w:tc>
        <w:tc>
          <w:tcPr>
            <w:tcW w:w="1536" w:type="dxa"/>
            <w:noWrap/>
            <w:vAlign w:val="bottom"/>
            <w:hideMark/>
          </w:tcPr>
          <w:p w14:paraId="0A11002D" w14:textId="77777777"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1C2012">
              <w:rPr>
                <w:sz w:val="18"/>
                <w:szCs w:val="18"/>
              </w:rPr>
              <w:t>$15,255,727,776</w:t>
            </w:r>
          </w:p>
        </w:tc>
        <w:tc>
          <w:tcPr>
            <w:tcW w:w="1308" w:type="dxa"/>
            <w:noWrap/>
            <w:vAlign w:val="bottom"/>
            <w:hideMark/>
          </w:tcPr>
          <w:p w14:paraId="494080F5" w14:textId="77777777"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1C2012">
              <w:rPr>
                <w:sz w:val="18"/>
                <w:szCs w:val="18"/>
              </w:rPr>
              <w:t>$228,054,912</w:t>
            </w:r>
          </w:p>
        </w:tc>
        <w:tc>
          <w:tcPr>
            <w:tcW w:w="1536" w:type="dxa"/>
            <w:tcBorders>
              <w:right w:val="single" w:sz="4" w:space="0" w:color="7F7F7F"/>
            </w:tcBorders>
            <w:noWrap/>
            <w:vAlign w:val="bottom"/>
            <w:hideMark/>
          </w:tcPr>
          <w:p w14:paraId="4AA02333" w14:textId="77777777"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1C2012">
              <w:rPr>
                <w:sz w:val="18"/>
                <w:szCs w:val="18"/>
              </w:rPr>
              <w:t>$30,283,400,640</w:t>
            </w:r>
          </w:p>
        </w:tc>
        <w:tc>
          <w:tcPr>
            <w:tcW w:w="1127" w:type="dxa"/>
            <w:tcBorders>
              <w:left w:val="single" w:sz="4" w:space="0" w:color="7F7F7F"/>
            </w:tcBorders>
            <w:noWrap/>
            <w:hideMark/>
          </w:tcPr>
          <w:p w14:paraId="7C734074" w14:textId="77777777"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1C2012">
              <w:rPr>
                <w:sz w:val="18"/>
                <w:szCs w:val="18"/>
              </w:rPr>
              <w:t>$576,679</w:t>
            </w:r>
          </w:p>
        </w:tc>
        <w:tc>
          <w:tcPr>
            <w:tcW w:w="1127" w:type="dxa"/>
            <w:noWrap/>
            <w:hideMark/>
          </w:tcPr>
          <w:p w14:paraId="6C7C95AD" w14:textId="77777777"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1C2012">
              <w:rPr>
                <w:sz w:val="18"/>
                <w:szCs w:val="18"/>
              </w:rPr>
              <w:t>-$114,542</w:t>
            </w:r>
          </w:p>
        </w:tc>
        <w:tc>
          <w:tcPr>
            <w:tcW w:w="1219" w:type="dxa"/>
            <w:tcBorders>
              <w:right w:val="single" w:sz="4" w:space="0" w:color="7F7F7F"/>
            </w:tcBorders>
            <w:noWrap/>
            <w:hideMark/>
          </w:tcPr>
          <w:p w14:paraId="028711A7" w14:textId="77777777"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1C2012">
              <w:rPr>
                <w:sz w:val="18"/>
                <w:szCs w:val="18"/>
              </w:rPr>
              <w:t>$1,267,901</w:t>
            </w:r>
          </w:p>
        </w:tc>
        <w:tc>
          <w:tcPr>
            <w:tcW w:w="1127" w:type="dxa"/>
            <w:tcBorders>
              <w:left w:val="single" w:sz="4" w:space="0" w:color="7F7F7F"/>
            </w:tcBorders>
            <w:noWrap/>
            <w:hideMark/>
          </w:tcPr>
          <w:p w14:paraId="12BCD444" w14:textId="291F2A48"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880057">
              <w:rPr>
                <w:sz w:val="18"/>
                <w:szCs w:val="18"/>
              </w:rPr>
              <w:t>$25,314,355</w:t>
            </w:r>
          </w:p>
        </w:tc>
        <w:tc>
          <w:tcPr>
            <w:tcW w:w="1036" w:type="dxa"/>
            <w:noWrap/>
            <w:hideMark/>
          </w:tcPr>
          <w:p w14:paraId="7127E8B4" w14:textId="2BA5C7CD"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880057">
              <w:rPr>
                <w:sz w:val="18"/>
                <w:szCs w:val="18"/>
              </w:rPr>
              <w:t>$6,567,577</w:t>
            </w:r>
          </w:p>
        </w:tc>
        <w:tc>
          <w:tcPr>
            <w:tcW w:w="1127" w:type="dxa"/>
            <w:noWrap/>
            <w:hideMark/>
          </w:tcPr>
          <w:p w14:paraId="2317347C" w14:textId="11EECD6E"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880057">
              <w:rPr>
                <w:sz w:val="18"/>
                <w:szCs w:val="18"/>
              </w:rPr>
              <w:t>$44,061,133</w:t>
            </w:r>
          </w:p>
        </w:tc>
      </w:tr>
      <w:tr w:rsidR="00880057" w:rsidRPr="00CE304A" w14:paraId="2E319476" w14:textId="77777777" w:rsidTr="001B23C9">
        <w:trPr>
          <w:trHeight w:val="245"/>
        </w:trPr>
        <w:tc>
          <w:tcPr>
            <w:cnfStyle w:val="001000000000" w:firstRow="0" w:lastRow="0" w:firstColumn="1" w:lastColumn="0" w:oddVBand="0" w:evenVBand="0" w:oddHBand="0" w:evenHBand="0" w:firstRowFirstColumn="0" w:firstRowLastColumn="0" w:lastRowFirstColumn="0" w:lastRowLastColumn="0"/>
            <w:tcW w:w="589" w:type="dxa"/>
            <w:noWrap/>
            <w:hideMark/>
          </w:tcPr>
          <w:p w14:paraId="14C9E25B" w14:textId="77777777" w:rsidR="00880057" w:rsidRPr="001C2012" w:rsidRDefault="00880057" w:rsidP="00880057">
            <w:pPr>
              <w:pStyle w:val="NoSpacing1"/>
              <w:rPr>
                <w:b w:val="0"/>
                <w:sz w:val="18"/>
                <w:szCs w:val="18"/>
              </w:rPr>
            </w:pPr>
            <w:r w:rsidRPr="001C2012">
              <w:rPr>
                <w:sz w:val="18"/>
                <w:szCs w:val="18"/>
              </w:rPr>
              <w:t>65</w:t>
            </w:r>
          </w:p>
        </w:tc>
        <w:tc>
          <w:tcPr>
            <w:tcW w:w="1536" w:type="dxa"/>
            <w:noWrap/>
            <w:vAlign w:val="bottom"/>
            <w:hideMark/>
          </w:tcPr>
          <w:p w14:paraId="1FFD7016" w14:textId="77777777" w:rsidR="00880057" w:rsidRPr="001C2012"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1C2012">
              <w:rPr>
                <w:sz w:val="18"/>
                <w:szCs w:val="18"/>
              </w:rPr>
              <w:t>$13,196,190,772</w:t>
            </w:r>
          </w:p>
        </w:tc>
        <w:tc>
          <w:tcPr>
            <w:tcW w:w="1308" w:type="dxa"/>
            <w:noWrap/>
            <w:vAlign w:val="bottom"/>
            <w:hideMark/>
          </w:tcPr>
          <w:p w14:paraId="58C1CA37" w14:textId="77777777" w:rsidR="00880057" w:rsidRPr="001C2012"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1C2012">
              <w:rPr>
                <w:sz w:val="18"/>
                <w:szCs w:val="18"/>
              </w:rPr>
              <w:t>$194,904,888</w:t>
            </w:r>
          </w:p>
        </w:tc>
        <w:tc>
          <w:tcPr>
            <w:tcW w:w="1536" w:type="dxa"/>
            <w:tcBorders>
              <w:right w:val="single" w:sz="4" w:space="0" w:color="7F7F7F"/>
            </w:tcBorders>
            <w:noWrap/>
            <w:vAlign w:val="bottom"/>
            <w:hideMark/>
          </w:tcPr>
          <w:p w14:paraId="1D779219" w14:textId="77777777" w:rsidR="00880057" w:rsidRPr="001C2012"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1C2012">
              <w:rPr>
                <w:sz w:val="18"/>
                <w:szCs w:val="18"/>
              </w:rPr>
              <w:t>$26,197,476,656</w:t>
            </w:r>
          </w:p>
        </w:tc>
        <w:tc>
          <w:tcPr>
            <w:tcW w:w="1127" w:type="dxa"/>
            <w:tcBorders>
              <w:left w:val="single" w:sz="4" w:space="0" w:color="7F7F7F"/>
            </w:tcBorders>
            <w:noWrap/>
            <w:hideMark/>
          </w:tcPr>
          <w:p w14:paraId="0F2C9510" w14:textId="77777777" w:rsidR="00880057" w:rsidRPr="001C2012"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1C2012">
              <w:rPr>
                <w:sz w:val="18"/>
                <w:szCs w:val="18"/>
              </w:rPr>
              <w:t>$515,766</w:t>
            </w:r>
          </w:p>
        </w:tc>
        <w:tc>
          <w:tcPr>
            <w:tcW w:w="1127" w:type="dxa"/>
            <w:noWrap/>
            <w:hideMark/>
          </w:tcPr>
          <w:p w14:paraId="3C5F4155" w14:textId="77777777" w:rsidR="00880057" w:rsidRPr="001C2012"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1C2012">
              <w:rPr>
                <w:sz w:val="18"/>
                <w:szCs w:val="18"/>
              </w:rPr>
              <w:t>-$102,811</w:t>
            </w:r>
          </w:p>
        </w:tc>
        <w:tc>
          <w:tcPr>
            <w:tcW w:w="1219" w:type="dxa"/>
            <w:tcBorders>
              <w:right w:val="single" w:sz="4" w:space="0" w:color="7F7F7F"/>
            </w:tcBorders>
            <w:noWrap/>
            <w:hideMark/>
          </w:tcPr>
          <w:p w14:paraId="2D5A2E66" w14:textId="77777777" w:rsidR="00880057" w:rsidRPr="001C2012"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1C2012">
              <w:rPr>
                <w:sz w:val="18"/>
                <w:szCs w:val="18"/>
              </w:rPr>
              <w:t>$1,134,343</w:t>
            </w:r>
          </w:p>
        </w:tc>
        <w:tc>
          <w:tcPr>
            <w:tcW w:w="1127" w:type="dxa"/>
            <w:tcBorders>
              <w:left w:val="single" w:sz="4" w:space="0" w:color="7F7F7F"/>
            </w:tcBorders>
            <w:noWrap/>
            <w:hideMark/>
          </w:tcPr>
          <w:p w14:paraId="77B2D4B2" w14:textId="114BB328"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880057">
              <w:rPr>
                <w:sz w:val="18"/>
                <w:szCs w:val="18"/>
              </w:rPr>
              <w:t>$21,806,648</w:t>
            </w:r>
          </w:p>
        </w:tc>
        <w:tc>
          <w:tcPr>
            <w:tcW w:w="1036" w:type="dxa"/>
            <w:noWrap/>
            <w:hideMark/>
          </w:tcPr>
          <w:p w14:paraId="2296A21C" w14:textId="2024AFDE"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880057">
              <w:rPr>
                <w:sz w:val="18"/>
                <w:szCs w:val="18"/>
              </w:rPr>
              <w:t>$5,638,167</w:t>
            </w:r>
          </w:p>
        </w:tc>
        <w:tc>
          <w:tcPr>
            <w:tcW w:w="1127" w:type="dxa"/>
            <w:noWrap/>
            <w:hideMark/>
          </w:tcPr>
          <w:p w14:paraId="07D5BFF3" w14:textId="3A7BA32D"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880057">
              <w:rPr>
                <w:sz w:val="18"/>
                <w:szCs w:val="18"/>
              </w:rPr>
              <w:t>$37,975,128</w:t>
            </w:r>
          </w:p>
        </w:tc>
      </w:tr>
      <w:tr w:rsidR="00880057" w:rsidRPr="00CE304A" w14:paraId="0B235CDF" w14:textId="77777777" w:rsidTr="001B23C9">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589" w:type="dxa"/>
            <w:noWrap/>
            <w:hideMark/>
          </w:tcPr>
          <w:p w14:paraId="3F193BC6" w14:textId="77777777" w:rsidR="00880057" w:rsidRPr="001C2012" w:rsidRDefault="00880057" w:rsidP="00880057">
            <w:pPr>
              <w:pStyle w:val="NoSpacing1"/>
              <w:rPr>
                <w:b w:val="0"/>
                <w:sz w:val="18"/>
                <w:szCs w:val="18"/>
              </w:rPr>
            </w:pPr>
            <w:r w:rsidRPr="001C2012">
              <w:rPr>
                <w:sz w:val="18"/>
                <w:szCs w:val="18"/>
              </w:rPr>
              <w:t>70</w:t>
            </w:r>
          </w:p>
        </w:tc>
        <w:tc>
          <w:tcPr>
            <w:tcW w:w="1536" w:type="dxa"/>
            <w:tcBorders>
              <w:bottom w:val="single" w:sz="4" w:space="0" w:color="7F7F7F"/>
            </w:tcBorders>
            <w:noWrap/>
            <w:vAlign w:val="bottom"/>
            <w:hideMark/>
          </w:tcPr>
          <w:p w14:paraId="4616EAA7" w14:textId="77777777"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1C2012">
              <w:rPr>
                <w:sz w:val="18"/>
                <w:szCs w:val="18"/>
              </w:rPr>
              <w:t>$9,887,347,069</w:t>
            </w:r>
          </w:p>
        </w:tc>
        <w:tc>
          <w:tcPr>
            <w:tcW w:w="1308" w:type="dxa"/>
            <w:tcBorders>
              <w:bottom w:val="single" w:sz="4" w:space="0" w:color="7F7F7F"/>
            </w:tcBorders>
            <w:noWrap/>
            <w:vAlign w:val="bottom"/>
            <w:hideMark/>
          </w:tcPr>
          <w:p w14:paraId="7834ECB2" w14:textId="77777777"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1C2012">
              <w:rPr>
                <w:sz w:val="18"/>
                <w:szCs w:val="18"/>
              </w:rPr>
              <w:t>$145,099,195</w:t>
            </w:r>
          </w:p>
        </w:tc>
        <w:tc>
          <w:tcPr>
            <w:tcW w:w="1536" w:type="dxa"/>
            <w:tcBorders>
              <w:bottom w:val="single" w:sz="4" w:space="0" w:color="7F7F7F"/>
              <w:right w:val="single" w:sz="4" w:space="0" w:color="7F7F7F"/>
            </w:tcBorders>
            <w:noWrap/>
            <w:vAlign w:val="bottom"/>
            <w:hideMark/>
          </w:tcPr>
          <w:p w14:paraId="21695550" w14:textId="77777777"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1C2012">
              <w:rPr>
                <w:sz w:val="18"/>
                <w:szCs w:val="18"/>
              </w:rPr>
              <w:t>$19,629,594,943</w:t>
            </w:r>
          </w:p>
        </w:tc>
        <w:tc>
          <w:tcPr>
            <w:tcW w:w="1127" w:type="dxa"/>
            <w:tcBorders>
              <w:left w:val="single" w:sz="4" w:space="0" w:color="7F7F7F"/>
              <w:bottom w:val="single" w:sz="4" w:space="0" w:color="7F7F7F"/>
            </w:tcBorders>
            <w:noWrap/>
            <w:hideMark/>
          </w:tcPr>
          <w:p w14:paraId="60FAA039" w14:textId="77777777"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1C2012">
              <w:rPr>
                <w:sz w:val="18"/>
                <w:szCs w:val="18"/>
              </w:rPr>
              <w:t>$393,345</w:t>
            </w:r>
          </w:p>
        </w:tc>
        <w:tc>
          <w:tcPr>
            <w:tcW w:w="1127" w:type="dxa"/>
            <w:tcBorders>
              <w:bottom w:val="single" w:sz="4" w:space="0" w:color="7F7F7F"/>
            </w:tcBorders>
            <w:noWrap/>
            <w:hideMark/>
          </w:tcPr>
          <w:p w14:paraId="09E19376" w14:textId="77777777"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1C2012">
              <w:rPr>
                <w:sz w:val="18"/>
                <w:szCs w:val="18"/>
              </w:rPr>
              <w:t>-$78,685</w:t>
            </w:r>
          </w:p>
        </w:tc>
        <w:tc>
          <w:tcPr>
            <w:tcW w:w="1219" w:type="dxa"/>
            <w:tcBorders>
              <w:bottom w:val="single" w:sz="4" w:space="0" w:color="7F7F7F"/>
              <w:right w:val="single" w:sz="4" w:space="0" w:color="7F7F7F"/>
            </w:tcBorders>
            <w:noWrap/>
            <w:hideMark/>
          </w:tcPr>
          <w:p w14:paraId="2DE2C6CC" w14:textId="77777777"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1C2012">
              <w:rPr>
                <w:sz w:val="18"/>
                <w:szCs w:val="18"/>
              </w:rPr>
              <w:t>$865,375</w:t>
            </w:r>
          </w:p>
        </w:tc>
        <w:tc>
          <w:tcPr>
            <w:tcW w:w="1127" w:type="dxa"/>
            <w:tcBorders>
              <w:left w:val="single" w:sz="4" w:space="0" w:color="7F7F7F"/>
            </w:tcBorders>
            <w:noWrap/>
            <w:hideMark/>
          </w:tcPr>
          <w:p w14:paraId="6FF14B09" w14:textId="342FD2C9"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880057">
              <w:rPr>
                <w:sz w:val="18"/>
                <w:szCs w:val="18"/>
              </w:rPr>
              <w:t>$16,638,993</w:t>
            </w:r>
          </w:p>
        </w:tc>
        <w:tc>
          <w:tcPr>
            <w:tcW w:w="1036" w:type="dxa"/>
            <w:noWrap/>
            <w:hideMark/>
          </w:tcPr>
          <w:p w14:paraId="16D88AB0" w14:textId="29B62FE7"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880057">
              <w:rPr>
                <w:sz w:val="18"/>
                <w:szCs w:val="18"/>
              </w:rPr>
              <w:t>$4,292,512</w:t>
            </w:r>
          </w:p>
        </w:tc>
        <w:tc>
          <w:tcPr>
            <w:tcW w:w="1127" w:type="dxa"/>
            <w:noWrap/>
            <w:hideMark/>
          </w:tcPr>
          <w:p w14:paraId="0C4D4381" w14:textId="4D588450"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b/>
                <w:sz w:val="18"/>
                <w:szCs w:val="18"/>
              </w:rPr>
            </w:pPr>
            <w:r w:rsidRPr="00880057">
              <w:rPr>
                <w:sz w:val="18"/>
                <w:szCs w:val="18"/>
              </w:rPr>
              <w:t>$28,985,474</w:t>
            </w:r>
          </w:p>
        </w:tc>
      </w:tr>
      <w:tr w:rsidR="00880057" w:rsidRPr="00CE304A" w14:paraId="5735628C" w14:textId="77777777" w:rsidTr="001B23C9">
        <w:trPr>
          <w:gridAfter w:val="3"/>
          <w:wAfter w:w="3290" w:type="dxa"/>
          <w:trHeight w:val="245"/>
        </w:trPr>
        <w:tc>
          <w:tcPr>
            <w:cnfStyle w:val="001000000000" w:firstRow="0" w:lastRow="0" w:firstColumn="1" w:lastColumn="0" w:oddVBand="0" w:evenVBand="0" w:oddHBand="0" w:evenHBand="0" w:firstRowFirstColumn="0" w:firstRowLastColumn="0" w:lastRowFirstColumn="0" w:lastRowLastColumn="0"/>
            <w:tcW w:w="589" w:type="dxa"/>
            <w:noWrap/>
            <w:hideMark/>
          </w:tcPr>
          <w:p w14:paraId="66AE828B" w14:textId="77777777" w:rsidR="00294FDD" w:rsidRPr="001C2012" w:rsidRDefault="00294FDD" w:rsidP="001C2012">
            <w:pPr>
              <w:pStyle w:val="NoSpacing1"/>
              <w:rPr>
                <w:sz w:val="18"/>
                <w:szCs w:val="18"/>
              </w:rPr>
            </w:pPr>
          </w:p>
        </w:tc>
        <w:tc>
          <w:tcPr>
            <w:tcW w:w="4380" w:type="dxa"/>
            <w:gridSpan w:val="3"/>
            <w:tcBorders>
              <w:top w:val="single" w:sz="4" w:space="0" w:color="7F7F7F"/>
              <w:bottom w:val="single" w:sz="4" w:space="0" w:color="7F7F7F"/>
              <w:right w:val="single" w:sz="4" w:space="0" w:color="7F7F7F"/>
            </w:tcBorders>
            <w:hideMark/>
          </w:tcPr>
          <w:p w14:paraId="4FD2FCCA" w14:textId="77777777" w:rsidR="00294FDD" w:rsidRPr="001C2012" w:rsidRDefault="00294FDD" w:rsidP="001C2012">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1C2012">
              <w:rPr>
                <w:b/>
                <w:sz w:val="18"/>
                <w:szCs w:val="18"/>
              </w:rPr>
              <w:t>Minor Restricted Activity Days</w:t>
            </w:r>
          </w:p>
        </w:tc>
        <w:tc>
          <w:tcPr>
            <w:tcW w:w="3473" w:type="dxa"/>
            <w:gridSpan w:val="3"/>
            <w:tcBorders>
              <w:top w:val="single" w:sz="4" w:space="0" w:color="7F7F7F"/>
              <w:left w:val="single" w:sz="4" w:space="0" w:color="7F7F7F"/>
              <w:bottom w:val="single" w:sz="4" w:space="0" w:color="7F7F7F"/>
              <w:right w:val="single" w:sz="4" w:space="0" w:color="7F7F7F"/>
            </w:tcBorders>
            <w:hideMark/>
          </w:tcPr>
          <w:p w14:paraId="6C38B99B" w14:textId="77777777" w:rsidR="00294FDD" w:rsidRPr="001C2012" w:rsidRDefault="00294FDD" w:rsidP="001C2012">
            <w:pPr>
              <w:pStyle w:val="NoSpacing1"/>
              <w:cnfStyle w:val="000000000000" w:firstRow="0" w:lastRow="0" w:firstColumn="0" w:lastColumn="0" w:oddVBand="0" w:evenVBand="0" w:oddHBand="0" w:evenHBand="0" w:firstRowFirstColumn="0" w:firstRowLastColumn="0" w:lastRowFirstColumn="0" w:lastRowLastColumn="0"/>
              <w:rPr>
                <w:b/>
                <w:sz w:val="18"/>
                <w:szCs w:val="18"/>
              </w:rPr>
            </w:pPr>
            <w:r w:rsidRPr="001C2012">
              <w:rPr>
                <w:b/>
                <w:sz w:val="18"/>
                <w:szCs w:val="18"/>
              </w:rPr>
              <w:t>School Loss Days</w:t>
            </w:r>
          </w:p>
        </w:tc>
      </w:tr>
      <w:tr w:rsidR="00880057" w:rsidRPr="00CE304A" w14:paraId="278CA435" w14:textId="77777777" w:rsidTr="001B23C9">
        <w:trPr>
          <w:gridAfter w:val="3"/>
          <w:cnfStyle w:val="000000100000" w:firstRow="0" w:lastRow="0" w:firstColumn="0" w:lastColumn="0" w:oddVBand="0" w:evenVBand="0" w:oddHBand="1" w:evenHBand="0" w:firstRowFirstColumn="0" w:firstRowLastColumn="0" w:lastRowFirstColumn="0" w:lastRowLastColumn="0"/>
          <w:wAfter w:w="3290" w:type="dxa"/>
          <w:trHeight w:val="245"/>
        </w:trPr>
        <w:tc>
          <w:tcPr>
            <w:cnfStyle w:val="001000000000" w:firstRow="0" w:lastRow="0" w:firstColumn="1" w:lastColumn="0" w:oddVBand="0" w:evenVBand="0" w:oddHBand="0" w:evenHBand="0" w:firstRowFirstColumn="0" w:firstRowLastColumn="0" w:lastRowFirstColumn="0" w:lastRowLastColumn="0"/>
            <w:tcW w:w="589" w:type="dxa"/>
            <w:noWrap/>
            <w:hideMark/>
          </w:tcPr>
          <w:p w14:paraId="36127CC9" w14:textId="77777777" w:rsidR="00880057" w:rsidRPr="001C2012" w:rsidRDefault="00880057" w:rsidP="00880057">
            <w:pPr>
              <w:pStyle w:val="NoSpacing1"/>
              <w:rPr>
                <w:sz w:val="18"/>
                <w:szCs w:val="18"/>
              </w:rPr>
            </w:pPr>
            <w:r w:rsidRPr="001C2012">
              <w:rPr>
                <w:sz w:val="18"/>
                <w:szCs w:val="18"/>
              </w:rPr>
              <w:t>2013</w:t>
            </w:r>
          </w:p>
        </w:tc>
        <w:tc>
          <w:tcPr>
            <w:tcW w:w="1536" w:type="dxa"/>
            <w:tcBorders>
              <w:top w:val="single" w:sz="4" w:space="0" w:color="7F7F7F"/>
            </w:tcBorders>
            <w:noWrap/>
          </w:tcPr>
          <w:p w14:paraId="7E4A0262" w14:textId="565312BA"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p>
        </w:tc>
        <w:tc>
          <w:tcPr>
            <w:tcW w:w="1308" w:type="dxa"/>
            <w:tcBorders>
              <w:top w:val="single" w:sz="4" w:space="0" w:color="7F7F7F"/>
            </w:tcBorders>
            <w:noWrap/>
          </w:tcPr>
          <w:p w14:paraId="784A61DC" w14:textId="6BDB4781"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p>
        </w:tc>
        <w:tc>
          <w:tcPr>
            <w:tcW w:w="1536" w:type="dxa"/>
            <w:tcBorders>
              <w:top w:val="single" w:sz="4" w:space="0" w:color="7F7F7F"/>
              <w:right w:val="single" w:sz="4" w:space="0" w:color="7F7F7F"/>
            </w:tcBorders>
            <w:noWrap/>
          </w:tcPr>
          <w:p w14:paraId="5899234A" w14:textId="6438A33D"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p>
        </w:tc>
        <w:tc>
          <w:tcPr>
            <w:tcW w:w="1127" w:type="dxa"/>
            <w:tcBorders>
              <w:top w:val="single" w:sz="4" w:space="0" w:color="7F7F7F"/>
              <w:left w:val="single" w:sz="4" w:space="0" w:color="7F7F7F"/>
            </w:tcBorders>
            <w:noWrap/>
            <w:hideMark/>
          </w:tcPr>
          <w:p w14:paraId="05EBBD28" w14:textId="77777777"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p>
        </w:tc>
        <w:tc>
          <w:tcPr>
            <w:tcW w:w="1127" w:type="dxa"/>
            <w:tcBorders>
              <w:top w:val="single" w:sz="4" w:space="0" w:color="7F7F7F"/>
            </w:tcBorders>
            <w:noWrap/>
            <w:hideMark/>
          </w:tcPr>
          <w:p w14:paraId="3FC450E4" w14:textId="77777777"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p>
        </w:tc>
        <w:tc>
          <w:tcPr>
            <w:tcW w:w="1219" w:type="dxa"/>
            <w:tcBorders>
              <w:top w:val="single" w:sz="4" w:space="0" w:color="7F7F7F"/>
              <w:right w:val="single" w:sz="4" w:space="0" w:color="7F7F7F"/>
            </w:tcBorders>
            <w:noWrap/>
            <w:hideMark/>
          </w:tcPr>
          <w:p w14:paraId="69601EDB" w14:textId="77777777"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p>
        </w:tc>
      </w:tr>
      <w:tr w:rsidR="00880057" w:rsidRPr="00CE304A" w14:paraId="31AB94D4" w14:textId="77777777" w:rsidTr="001B23C9">
        <w:trPr>
          <w:gridAfter w:val="3"/>
          <w:wAfter w:w="3290" w:type="dxa"/>
          <w:trHeight w:val="245"/>
        </w:trPr>
        <w:tc>
          <w:tcPr>
            <w:cnfStyle w:val="001000000000" w:firstRow="0" w:lastRow="0" w:firstColumn="1" w:lastColumn="0" w:oddVBand="0" w:evenVBand="0" w:oddHBand="0" w:evenHBand="0" w:firstRowFirstColumn="0" w:firstRowLastColumn="0" w:lastRowFirstColumn="0" w:lastRowLastColumn="0"/>
            <w:tcW w:w="589" w:type="dxa"/>
            <w:noWrap/>
            <w:hideMark/>
          </w:tcPr>
          <w:p w14:paraId="59844744" w14:textId="77777777" w:rsidR="00880057" w:rsidRPr="001C2012" w:rsidRDefault="00880057" w:rsidP="00880057">
            <w:pPr>
              <w:pStyle w:val="NoSpacing1"/>
              <w:rPr>
                <w:sz w:val="18"/>
                <w:szCs w:val="18"/>
              </w:rPr>
            </w:pPr>
            <w:r w:rsidRPr="001C2012">
              <w:rPr>
                <w:sz w:val="18"/>
                <w:szCs w:val="18"/>
              </w:rPr>
              <w:t>40</w:t>
            </w:r>
          </w:p>
        </w:tc>
        <w:tc>
          <w:tcPr>
            <w:tcW w:w="1536" w:type="dxa"/>
            <w:noWrap/>
            <w:hideMark/>
          </w:tcPr>
          <w:p w14:paraId="42AED684" w14:textId="103EAD6F"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984786">
              <w:rPr>
                <w:sz w:val="18"/>
                <w:szCs w:val="18"/>
              </w:rPr>
              <w:t>$93,033,327</w:t>
            </w:r>
          </w:p>
        </w:tc>
        <w:tc>
          <w:tcPr>
            <w:tcW w:w="1308" w:type="dxa"/>
            <w:noWrap/>
            <w:hideMark/>
          </w:tcPr>
          <w:p w14:paraId="4868657D" w14:textId="67A2B430"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984786">
              <w:rPr>
                <w:sz w:val="18"/>
                <w:szCs w:val="18"/>
              </w:rPr>
              <w:t>-$29,589,066</w:t>
            </w:r>
          </w:p>
        </w:tc>
        <w:tc>
          <w:tcPr>
            <w:tcW w:w="1536" w:type="dxa"/>
            <w:tcBorders>
              <w:right w:val="single" w:sz="4" w:space="0" w:color="7F7F7F"/>
            </w:tcBorders>
            <w:noWrap/>
            <w:hideMark/>
          </w:tcPr>
          <w:p w14:paraId="680A3696" w14:textId="67E787C7"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984786">
              <w:rPr>
                <w:sz w:val="18"/>
                <w:szCs w:val="18"/>
              </w:rPr>
              <w:t>$215,655,720</w:t>
            </w:r>
          </w:p>
        </w:tc>
        <w:tc>
          <w:tcPr>
            <w:tcW w:w="1127" w:type="dxa"/>
            <w:tcBorders>
              <w:left w:val="single" w:sz="4" w:space="0" w:color="7F7F7F"/>
            </w:tcBorders>
            <w:noWrap/>
            <w:hideMark/>
          </w:tcPr>
          <w:p w14:paraId="6ADD11F3" w14:textId="77777777" w:rsidR="00880057" w:rsidRPr="001C2012"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1C2012">
              <w:rPr>
                <w:sz w:val="18"/>
                <w:szCs w:val="18"/>
              </w:rPr>
              <w:t>$81,691,996</w:t>
            </w:r>
          </w:p>
        </w:tc>
        <w:tc>
          <w:tcPr>
            <w:tcW w:w="1127" w:type="dxa"/>
            <w:noWrap/>
            <w:hideMark/>
          </w:tcPr>
          <w:p w14:paraId="3E0681FA" w14:textId="77777777" w:rsidR="00880057" w:rsidRPr="001C2012"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1C2012">
              <w:rPr>
                <w:sz w:val="18"/>
                <w:szCs w:val="18"/>
              </w:rPr>
              <w:t>$33,186,346</w:t>
            </w:r>
          </w:p>
        </w:tc>
        <w:tc>
          <w:tcPr>
            <w:tcW w:w="1219" w:type="dxa"/>
            <w:tcBorders>
              <w:right w:val="single" w:sz="4" w:space="0" w:color="7F7F7F"/>
            </w:tcBorders>
            <w:noWrap/>
            <w:hideMark/>
          </w:tcPr>
          <w:p w14:paraId="1AB52079" w14:textId="77777777" w:rsidR="00880057" w:rsidRPr="001C2012"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1C2012">
              <w:rPr>
                <w:sz w:val="18"/>
                <w:szCs w:val="18"/>
              </w:rPr>
              <w:t>$130,197,645</w:t>
            </w:r>
          </w:p>
        </w:tc>
      </w:tr>
      <w:tr w:rsidR="00880057" w:rsidRPr="00CE304A" w14:paraId="7A986485" w14:textId="77777777" w:rsidTr="001B23C9">
        <w:trPr>
          <w:gridAfter w:val="3"/>
          <w:cnfStyle w:val="000000100000" w:firstRow="0" w:lastRow="0" w:firstColumn="0" w:lastColumn="0" w:oddVBand="0" w:evenVBand="0" w:oddHBand="1" w:evenHBand="0" w:firstRowFirstColumn="0" w:firstRowLastColumn="0" w:lastRowFirstColumn="0" w:lastRowLastColumn="0"/>
          <w:wAfter w:w="3290" w:type="dxa"/>
          <w:trHeight w:val="245"/>
        </w:trPr>
        <w:tc>
          <w:tcPr>
            <w:cnfStyle w:val="001000000000" w:firstRow="0" w:lastRow="0" w:firstColumn="1" w:lastColumn="0" w:oddVBand="0" w:evenVBand="0" w:oddHBand="0" w:evenHBand="0" w:firstRowFirstColumn="0" w:firstRowLastColumn="0" w:lastRowFirstColumn="0" w:lastRowLastColumn="0"/>
            <w:tcW w:w="589" w:type="dxa"/>
            <w:noWrap/>
            <w:hideMark/>
          </w:tcPr>
          <w:p w14:paraId="1E795ED0" w14:textId="77777777" w:rsidR="00880057" w:rsidRPr="001C2012" w:rsidRDefault="00880057" w:rsidP="00880057">
            <w:pPr>
              <w:pStyle w:val="NoSpacing1"/>
              <w:rPr>
                <w:sz w:val="18"/>
                <w:szCs w:val="18"/>
              </w:rPr>
            </w:pPr>
            <w:r w:rsidRPr="001C2012">
              <w:rPr>
                <w:sz w:val="18"/>
                <w:szCs w:val="18"/>
              </w:rPr>
              <w:t>65</w:t>
            </w:r>
          </w:p>
        </w:tc>
        <w:tc>
          <w:tcPr>
            <w:tcW w:w="1536" w:type="dxa"/>
            <w:noWrap/>
            <w:hideMark/>
          </w:tcPr>
          <w:p w14:paraId="31370437" w14:textId="3850BE2D"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984786">
              <w:rPr>
                <w:sz w:val="18"/>
                <w:szCs w:val="18"/>
              </w:rPr>
              <w:t>$77,393,080</w:t>
            </w:r>
          </w:p>
        </w:tc>
        <w:tc>
          <w:tcPr>
            <w:tcW w:w="1308" w:type="dxa"/>
            <w:noWrap/>
            <w:hideMark/>
          </w:tcPr>
          <w:p w14:paraId="26A983BB" w14:textId="0C9C98DF"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984786">
              <w:rPr>
                <w:sz w:val="18"/>
                <w:szCs w:val="18"/>
              </w:rPr>
              <w:t>-$24,668,140</w:t>
            </w:r>
          </w:p>
        </w:tc>
        <w:tc>
          <w:tcPr>
            <w:tcW w:w="1536" w:type="dxa"/>
            <w:tcBorders>
              <w:right w:val="single" w:sz="4" w:space="0" w:color="7F7F7F"/>
            </w:tcBorders>
            <w:noWrap/>
            <w:hideMark/>
          </w:tcPr>
          <w:p w14:paraId="502F56ED" w14:textId="6EA1524A"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984786">
              <w:rPr>
                <w:sz w:val="18"/>
                <w:szCs w:val="18"/>
              </w:rPr>
              <w:t>$179,454,300</w:t>
            </w:r>
          </w:p>
        </w:tc>
        <w:tc>
          <w:tcPr>
            <w:tcW w:w="1127" w:type="dxa"/>
            <w:tcBorders>
              <w:left w:val="single" w:sz="4" w:space="0" w:color="7F7F7F"/>
            </w:tcBorders>
            <w:noWrap/>
            <w:hideMark/>
          </w:tcPr>
          <w:p w14:paraId="4326B291" w14:textId="3EE7A4C1"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$68,301,008</w:t>
            </w:r>
          </w:p>
        </w:tc>
        <w:tc>
          <w:tcPr>
            <w:tcW w:w="1127" w:type="dxa"/>
            <w:noWrap/>
            <w:hideMark/>
          </w:tcPr>
          <w:p w14:paraId="3E9D30CE" w14:textId="57A84DF6"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$27,746,898</w:t>
            </w:r>
          </w:p>
        </w:tc>
        <w:tc>
          <w:tcPr>
            <w:tcW w:w="1219" w:type="dxa"/>
            <w:tcBorders>
              <w:right w:val="single" w:sz="4" w:space="0" w:color="7F7F7F"/>
            </w:tcBorders>
            <w:noWrap/>
            <w:hideMark/>
          </w:tcPr>
          <w:p w14:paraId="2F66174B" w14:textId="6EC3CC01"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$108,855,117</w:t>
            </w:r>
          </w:p>
        </w:tc>
      </w:tr>
      <w:tr w:rsidR="00880057" w:rsidRPr="00CE304A" w14:paraId="3D395B02" w14:textId="77777777" w:rsidTr="001B23C9">
        <w:trPr>
          <w:gridAfter w:val="3"/>
          <w:wAfter w:w="3290" w:type="dxa"/>
          <w:trHeight w:val="245"/>
        </w:trPr>
        <w:tc>
          <w:tcPr>
            <w:cnfStyle w:val="001000000000" w:firstRow="0" w:lastRow="0" w:firstColumn="1" w:lastColumn="0" w:oddVBand="0" w:evenVBand="0" w:oddHBand="0" w:evenHBand="0" w:firstRowFirstColumn="0" w:firstRowLastColumn="0" w:lastRowFirstColumn="0" w:lastRowLastColumn="0"/>
            <w:tcW w:w="589" w:type="dxa"/>
            <w:noWrap/>
            <w:hideMark/>
          </w:tcPr>
          <w:p w14:paraId="43553F12" w14:textId="77777777" w:rsidR="00880057" w:rsidRPr="001C2012" w:rsidRDefault="00880057" w:rsidP="00880057">
            <w:pPr>
              <w:pStyle w:val="NoSpacing1"/>
              <w:rPr>
                <w:sz w:val="18"/>
                <w:szCs w:val="18"/>
              </w:rPr>
            </w:pPr>
            <w:r w:rsidRPr="001C2012">
              <w:rPr>
                <w:sz w:val="18"/>
                <w:szCs w:val="18"/>
              </w:rPr>
              <w:t>70</w:t>
            </w:r>
          </w:p>
        </w:tc>
        <w:tc>
          <w:tcPr>
            <w:tcW w:w="1536" w:type="dxa"/>
            <w:noWrap/>
            <w:hideMark/>
          </w:tcPr>
          <w:p w14:paraId="38618003" w14:textId="3DDED253"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984786">
              <w:rPr>
                <w:sz w:val="18"/>
                <w:szCs w:val="18"/>
              </w:rPr>
              <w:t>$42,458,928</w:t>
            </w:r>
          </w:p>
        </w:tc>
        <w:tc>
          <w:tcPr>
            <w:tcW w:w="1308" w:type="dxa"/>
            <w:noWrap/>
            <w:hideMark/>
          </w:tcPr>
          <w:p w14:paraId="0F78D134" w14:textId="2837944B"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984786">
              <w:rPr>
                <w:sz w:val="18"/>
                <w:szCs w:val="18"/>
              </w:rPr>
              <w:t>-$13,567,426</w:t>
            </w:r>
          </w:p>
        </w:tc>
        <w:tc>
          <w:tcPr>
            <w:tcW w:w="1536" w:type="dxa"/>
            <w:tcBorders>
              <w:right w:val="single" w:sz="4" w:space="0" w:color="7F7F7F"/>
            </w:tcBorders>
            <w:noWrap/>
            <w:hideMark/>
          </w:tcPr>
          <w:p w14:paraId="28FE70C3" w14:textId="0B55ECDF"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984786">
              <w:rPr>
                <w:sz w:val="18"/>
                <w:szCs w:val="18"/>
              </w:rPr>
              <w:t>$98,485,281</w:t>
            </w:r>
          </w:p>
        </w:tc>
        <w:tc>
          <w:tcPr>
            <w:tcW w:w="1127" w:type="dxa"/>
            <w:tcBorders>
              <w:left w:val="single" w:sz="4" w:space="0" w:color="7F7F7F"/>
            </w:tcBorders>
            <w:noWrap/>
            <w:hideMark/>
          </w:tcPr>
          <w:p w14:paraId="4438BD82" w14:textId="687622F2" w:rsidR="00880057" w:rsidRPr="00873B6C"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873B6C">
              <w:rPr>
                <w:sz w:val="18"/>
                <w:szCs w:val="18"/>
              </w:rPr>
              <w:t>$36,864,577</w:t>
            </w:r>
          </w:p>
        </w:tc>
        <w:tc>
          <w:tcPr>
            <w:tcW w:w="1127" w:type="dxa"/>
            <w:noWrap/>
            <w:hideMark/>
          </w:tcPr>
          <w:p w14:paraId="4FCB07CE" w14:textId="17277D00" w:rsidR="00880057" w:rsidRPr="00873B6C"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873B6C">
              <w:rPr>
                <w:sz w:val="18"/>
                <w:szCs w:val="18"/>
              </w:rPr>
              <w:t>$14,976,270</w:t>
            </w:r>
          </w:p>
        </w:tc>
        <w:tc>
          <w:tcPr>
            <w:tcW w:w="1219" w:type="dxa"/>
            <w:tcBorders>
              <w:right w:val="single" w:sz="4" w:space="0" w:color="7F7F7F"/>
            </w:tcBorders>
            <w:noWrap/>
            <w:hideMark/>
          </w:tcPr>
          <w:p w14:paraId="3AF75309" w14:textId="60F32FBB" w:rsidR="00880057" w:rsidRPr="00873B6C"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873B6C">
              <w:rPr>
                <w:sz w:val="18"/>
                <w:szCs w:val="18"/>
              </w:rPr>
              <w:t>$58,752,884</w:t>
            </w:r>
          </w:p>
        </w:tc>
      </w:tr>
      <w:tr w:rsidR="00880057" w:rsidRPr="00CE304A" w14:paraId="0BC7A964" w14:textId="77777777" w:rsidTr="001B23C9">
        <w:trPr>
          <w:gridAfter w:val="3"/>
          <w:cnfStyle w:val="000000100000" w:firstRow="0" w:lastRow="0" w:firstColumn="0" w:lastColumn="0" w:oddVBand="0" w:evenVBand="0" w:oddHBand="1" w:evenHBand="0" w:firstRowFirstColumn="0" w:firstRowLastColumn="0" w:lastRowFirstColumn="0" w:lastRowLastColumn="0"/>
          <w:wAfter w:w="3290" w:type="dxa"/>
          <w:trHeight w:val="245"/>
        </w:trPr>
        <w:tc>
          <w:tcPr>
            <w:cnfStyle w:val="001000000000" w:firstRow="0" w:lastRow="0" w:firstColumn="1" w:lastColumn="0" w:oddVBand="0" w:evenVBand="0" w:oddHBand="0" w:evenHBand="0" w:firstRowFirstColumn="0" w:firstRowLastColumn="0" w:lastRowFirstColumn="0" w:lastRowLastColumn="0"/>
            <w:tcW w:w="589" w:type="dxa"/>
            <w:noWrap/>
            <w:hideMark/>
          </w:tcPr>
          <w:p w14:paraId="5C65344A" w14:textId="77777777" w:rsidR="00CE304A" w:rsidRPr="001C2012" w:rsidRDefault="00CE304A" w:rsidP="001C2012">
            <w:pPr>
              <w:pStyle w:val="NoSpacing1"/>
              <w:rPr>
                <w:sz w:val="18"/>
                <w:szCs w:val="18"/>
              </w:rPr>
            </w:pPr>
            <w:r w:rsidRPr="001C2012">
              <w:rPr>
                <w:sz w:val="18"/>
                <w:szCs w:val="18"/>
              </w:rPr>
              <w:t>2014</w:t>
            </w:r>
          </w:p>
        </w:tc>
        <w:tc>
          <w:tcPr>
            <w:tcW w:w="1536" w:type="dxa"/>
            <w:noWrap/>
            <w:hideMark/>
          </w:tcPr>
          <w:p w14:paraId="3193EF8C" w14:textId="77777777" w:rsidR="00CE304A" w:rsidRPr="00880057" w:rsidRDefault="00CE304A" w:rsidP="001C2012">
            <w:pPr>
              <w:pStyle w:val="NoSpacing1"/>
              <w:cnfStyle w:val="000000100000" w:firstRow="0" w:lastRow="0" w:firstColumn="0" w:lastColumn="0" w:oddVBand="0" w:evenVBand="0" w:oddHBand="1" w:evenHBand="0" w:firstRowFirstColumn="0" w:firstRowLastColumn="0" w:lastRowFirstColumn="0" w:lastRowLastColumn="0"/>
              <w:rPr>
                <w:sz w:val="18"/>
                <w:szCs w:val="18"/>
              </w:rPr>
            </w:pPr>
          </w:p>
        </w:tc>
        <w:tc>
          <w:tcPr>
            <w:tcW w:w="1308" w:type="dxa"/>
            <w:noWrap/>
            <w:hideMark/>
          </w:tcPr>
          <w:p w14:paraId="1359A095" w14:textId="77777777" w:rsidR="00CE304A" w:rsidRPr="00880057" w:rsidRDefault="00CE304A" w:rsidP="001C2012">
            <w:pPr>
              <w:pStyle w:val="NoSpacing1"/>
              <w:cnfStyle w:val="000000100000" w:firstRow="0" w:lastRow="0" w:firstColumn="0" w:lastColumn="0" w:oddVBand="0" w:evenVBand="0" w:oddHBand="1" w:evenHBand="0" w:firstRowFirstColumn="0" w:firstRowLastColumn="0" w:lastRowFirstColumn="0" w:lastRowLastColumn="0"/>
              <w:rPr>
                <w:sz w:val="18"/>
                <w:szCs w:val="18"/>
              </w:rPr>
            </w:pPr>
          </w:p>
        </w:tc>
        <w:tc>
          <w:tcPr>
            <w:tcW w:w="1536" w:type="dxa"/>
            <w:tcBorders>
              <w:right w:val="single" w:sz="4" w:space="0" w:color="7F7F7F"/>
            </w:tcBorders>
            <w:noWrap/>
            <w:hideMark/>
          </w:tcPr>
          <w:p w14:paraId="70723BFC" w14:textId="77777777" w:rsidR="00CE304A" w:rsidRPr="00984786" w:rsidRDefault="00CE304A" w:rsidP="001C2012">
            <w:pPr>
              <w:pStyle w:val="NoSpacing1"/>
              <w:cnfStyle w:val="000000100000" w:firstRow="0" w:lastRow="0" w:firstColumn="0" w:lastColumn="0" w:oddVBand="0" w:evenVBand="0" w:oddHBand="1" w:evenHBand="0" w:firstRowFirstColumn="0" w:firstRowLastColumn="0" w:lastRowFirstColumn="0" w:lastRowLastColumn="0"/>
              <w:rPr>
                <w:sz w:val="18"/>
                <w:szCs w:val="18"/>
              </w:rPr>
            </w:pPr>
          </w:p>
        </w:tc>
        <w:tc>
          <w:tcPr>
            <w:tcW w:w="1127" w:type="dxa"/>
            <w:tcBorders>
              <w:left w:val="single" w:sz="4" w:space="0" w:color="7F7F7F"/>
            </w:tcBorders>
            <w:noWrap/>
            <w:hideMark/>
          </w:tcPr>
          <w:p w14:paraId="697413CD" w14:textId="77777777" w:rsidR="00CE304A" w:rsidRPr="00873B6C" w:rsidRDefault="00CE304A" w:rsidP="001C2012">
            <w:pPr>
              <w:pStyle w:val="NoSpacing1"/>
              <w:cnfStyle w:val="000000100000" w:firstRow="0" w:lastRow="0" w:firstColumn="0" w:lastColumn="0" w:oddVBand="0" w:evenVBand="0" w:oddHBand="1" w:evenHBand="0" w:firstRowFirstColumn="0" w:firstRowLastColumn="0" w:lastRowFirstColumn="0" w:lastRowLastColumn="0"/>
              <w:rPr>
                <w:sz w:val="18"/>
                <w:szCs w:val="18"/>
              </w:rPr>
            </w:pPr>
          </w:p>
        </w:tc>
        <w:tc>
          <w:tcPr>
            <w:tcW w:w="1127" w:type="dxa"/>
            <w:noWrap/>
            <w:hideMark/>
          </w:tcPr>
          <w:p w14:paraId="252896FC" w14:textId="77777777" w:rsidR="00CE304A" w:rsidRPr="00873B6C" w:rsidRDefault="00CE304A" w:rsidP="001C2012">
            <w:pPr>
              <w:pStyle w:val="NoSpacing1"/>
              <w:cnfStyle w:val="000000100000" w:firstRow="0" w:lastRow="0" w:firstColumn="0" w:lastColumn="0" w:oddVBand="0" w:evenVBand="0" w:oddHBand="1" w:evenHBand="0" w:firstRowFirstColumn="0" w:firstRowLastColumn="0" w:lastRowFirstColumn="0" w:lastRowLastColumn="0"/>
              <w:rPr>
                <w:sz w:val="18"/>
                <w:szCs w:val="18"/>
              </w:rPr>
            </w:pPr>
          </w:p>
        </w:tc>
        <w:tc>
          <w:tcPr>
            <w:tcW w:w="1219" w:type="dxa"/>
            <w:tcBorders>
              <w:right w:val="single" w:sz="4" w:space="0" w:color="7F7F7F"/>
            </w:tcBorders>
            <w:noWrap/>
            <w:hideMark/>
          </w:tcPr>
          <w:p w14:paraId="21351086" w14:textId="77777777" w:rsidR="00CE304A" w:rsidRPr="00873B6C" w:rsidRDefault="00CE304A" w:rsidP="001C2012">
            <w:pPr>
              <w:pStyle w:val="NoSpacing1"/>
              <w:cnfStyle w:val="000000100000" w:firstRow="0" w:lastRow="0" w:firstColumn="0" w:lastColumn="0" w:oddVBand="0" w:evenVBand="0" w:oddHBand="1" w:evenHBand="0" w:firstRowFirstColumn="0" w:firstRowLastColumn="0" w:lastRowFirstColumn="0" w:lastRowLastColumn="0"/>
              <w:rPr>
                <w:sz w:val="18"/>
                <w:szCs w:val="18"/>
              </w:rPr>
            </w:pPr>
          </w:p>
        </w:tc>
      </w:tr>
      <w:tr w:rsidR="00880057" w:rsidRPr="00CE304A" w14:paraId="60548B06" w14:textId="77777777" w:rsidTr="001B23C9">
        <w:trPr>
          <w:gridAfter w:val="3"/>
          <w:wAfter w:w="3290" w:type="dxa"/>
          <w:trHeight w:val="245"/>
        </w:trPr>
        <w:tc>
          <w:tcPr>
            <w:cnfStyle w:val="001000000000" w:firstRow="0" w:lastRow="0" w:firstColumn="1" w:lastColumn="0" w:oddVBand="0" w:evenVBand="0" w:oddHBand="0" w:evenHBand="0" w:firstRowFirstColumn="0" w:firstRowLastColumn="0" w:lastRowFirstColumn="0" w:lastRowLastColumn="0"/>
            <w:tcW w:w="589" w:type="dxa"/>
            <w:noWrap/>
            <w:hideMark/>
          </w:tcPr>
          <w:p w14:paraId="05BA2A76" w14:textId="77777777" w:rsidR="00880057" w:rsidRPr="001C2012" w:rsidRDefault="00880057" w:rsidP="00880057">
            <w:pPr>
              <w:pStyle w:val="NoSpacing1"/>
              <w:rPr>
                <w:sz w:val="18"/>
                <w:szCs w:val="18"/>
              </w:rPr>
            </w:pPr>
            <w:r w:rsidRPr="001C2012">
              <w:rPr>
                <w:sz w:val="18"/>
                <w:szCs w:val="18"/>
              </w:rPr>
              <w:t>40</w:t>
            </w:r>
          </w:p>
        </w:tc>
        <w:tc>
          <w:tcPr>
            <w:tcW w:w="1536" w:type="dxa"/>
            <w:noWrap/>
            <w:hideMark/>
          </w:tcPr>
          <w:p w14:paraId="51FBAF22" w14:textId="7A6CD072"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984786">
              <w:rPr>
                <w:sz w:val="18"/>
                <w:szCs w:val="18"/>
              </w:rPr>
              <w:t>$92,449,008</w:t>
            </w:r>
          </w:p>
        </w:tc>
        <w:tc>
          <w:tcPr>
            <w:tcW w:w="1308" w:type="dxa"/>
            <w:noWrap/>
            <w:hideMark/>
          </w:tcPr>
          <w:p w14:paraId="3F7A8305" w14:textId="3B85906A"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984786">
              <w:rPr>
                <w:sz w:val="18"/>
                <w:szCs w:val="18"/>
              </w:rPr>
              <w:t>-$29,624,650</w:t>
            </w:r>
          </w:p>
        </w:tc>
        <w:tc>
          <w:tcPr>
            <w:tcW w:w="1536" w:type="dxa"/>
            <w:tcBorders>
              <w:right w:val="single" w:sz="4" w:space="0" w:color="7F7F7F"/>
            </w:tcBorders>
            <w:noWrap/>
            <w:hideMark/>
          </w:tcPr>
          <w:p w14:paraId="5A011E39" w14:textId="0E01F4AC"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984786">
              <w:rPr>
                <w:sz w:val="18"/>
                <w:szCs w:val="18"/>
              </w:rPr>
              <w:t>$214,522,666</w:t>
            </w:r>
          </w:p>
        </w:tc>
        <w:tc>
          <w:tcPr>
            <w:tcW w:w="1127" w:type="dxa"/>
            <w:tcBorders>
              <w:left w:val="single" w:sz="4" w:space="0" w:color="7F7F7F"/>
            </w:tcBorders>
            <w:noWrap/>
            <w:hideMark/>
          </w:tcPr>
          <w:p w14:paraId="77F14E84" w14:textId="6C7B04C1" w:rsidR="00880057" w:rsidRPr="00873B6C"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873B6C">
              <w:rPr>
                <w:sz w:val="18"/>
                <w:szCs w:val="18"/>
              </w:rPr>
              <w:t>$79,107,465</w:t>
            </w:r>
          </w:p>
        </w:tc>
        <w:tc>
          <w:tcPr>
            <w:tcW w:w="1127" w:type="dxa"/>
            <w:noWrap/>
            <w:hideMark/>
          </w:tcPr>
          <w:p w14:paraId="7F5E07AC" w14:textId="46724890" w:rsidR="00880057" w:rsidRPr="00873B6C"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873B6C">
              <w:rPr>
                <w:sz w:val="18"/>
                <w:szCs w:val="18"/>
              </w:rPr>
              <w:t>$27,295,867</w:t>
            </w:r>
          </w:p>
        </w:tc>
        <w:tc>
          <w:tcPr>
            <w:tcW w:w="1219" w:type="dxa"/>
            <w:tcBorders>
              <w:right w:val="single" w:sz="4" w:space="0" w:color="7F7F7F"/>
            </w:tcBorders>
            <w:noWrap/>
            <w:hideMark/>
          </w:tcPr>
          <w:p w14:paraId="55595D13" w14:textId="29569E3F" w:rsidR="00880057" w:rsidRPr="00873B6C"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873B6C">
              <w:rPr>
                <w:sz w:val="18"/>
                <w:szCs w:val="18"/>
              </w:rPr>
              <w:t>$130,919,064</w:t>
            </w:r>
          </w:p>
        </w:tc>
      </w:tr>
      <w:tr w:rsidR="00880057" w:rsidRPr="00CE304A" w14:paraId="3CAA05AD" w14:textId="77777777" w:rsidTr="001B23C9">
        <w:trPr>
          <w:gridAfter w:val="3"/>
          <w:cnfStyle w:val="000000100000" w:firstRow="0" w:lastRow="0" w:firstColumn="0" w:lastColumn="0" w:oddVBand="0" w:evenVBand="0" w:oddHBand="1" w:evenHBand="0" w:firstRowFirstColumn="0" w:firstRowLastColumn="0" w:lastRowFirstColumn="0" w:lastRowLastColumn="0"/>
          <w:wAfter w:w="3290" w:type="dxa"/>
          <w:trHeight w:val="245"/>
        </w:trPr>
        <w:tc>
          <w:tcPr>
            <w:cnfStyle w:val="001000000000" w:firstRow="0" w:lastRow="0" w:firstColumn="1" w:lastColumn="0" w:oddVBand="0" w:evenVBand="0" w:oddHBand="0" w:evenHBand="0" w:firstRowFirstColumn="0" w:firstRowLastColumn="0" w:lastRowFirstColumn="0" w:lastRowLastColumn="0"/>
            <w:tcW w:w="589" w:type="dxa"/>
            <w:noWrap/>
            <w:hideMark/>
          </w:tcPr>
          <w:p w14:paraId="26665F51" w14:textId="77777777" w:rsidR="00880057" w:rsidRPr="001C2012" w:rsidRDefault="00880057" w:rsidP="00880057">
            <w:pPr>
              <w:pStyle w:val="NoSpacing1"/>
              <w:rPr>
                <w:sz w:val="18"/>
                <w:szCs w:val="18"/>
              </w:rPr>
            </w:pPr>
            <w:r w:rsidRPr="001C2012">
              <w:rPr>
                <w:sz w:val="18"/>
                <w:szCs w:val="18"/>
              </w:rPr>
              <w:t>65</w:t>
            </w:r>
          </w:p>
        </w:tc>
        <w:tc>
          <w:tcPr>
            <w:tcW w:w="1536" w:type="dxa"/>
            <w:noWrap/>
            <w:hideMark/>
          </w:tcPr>
          <w:p w14:paraId="40635CC0" w14:textId="7C142CDE"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984786">
              <w:rPr>
                <w:sz w:val="18"/>
                <w:szCs w:val="18"/>
              </w:rPr>
              <w:t>$61,688,814</w:t>
            </w:r>
          </w:p>
        </w:tc>
        <w:tc>
          <w:tcPr>
            <w:tcW w:w="1308" w:type="dxa"/>
            <w:noWrap/>
            <w:hideMark/>
          </w:tcPr>
          <w:p w14:paraId="3EE9FFAD" w14:textId="2D0A3E4E"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984786">
              <w:rPr>
                <w:sz w:val="18"/>
                <w:szCs w:val="18"/>
              </w:rPr>
              <w:t>-$19,686,569</w:t>
            </w:r>
          </w:p>
        </w:tc>
        <w:tc>
          <w:tcPr>
            <w:tcW w:w="1536" w:type="dxa"/>
            <w:tcBorders>
              <w:right w:val="single" w:sz="4" w:space="0" w:color="7F7F7F"/>
            </w:tcBorders>
            <w:noWrap/>
            <w:hideMark/>
          </w:tcPr>
          <w:p w14:paraId="32026617" w14:textId="7D050156"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984786">
              <w:rPr>
                <w:sz w:val="18"/>
                <w:szCs w:val="18"/>
              </w:rPr>
              <w:t>$143,064,197</w:t>
            </w:r>
          </w:p>
        </w:tc>
        <w:tc>
          <w:tcPr>
            <w:tcW w:w="1127" w:type="dxa"/>
            <w:tcBorders>
              <w:left w:val="single" w:sz="4" w:space="0" w:color="7F7F7F"/>
            </w:tcBorders>
            <w:noWrap/>
            <w:hideMark/>
          </w:tcPr>
          <w:p w14:paraId="21135CD2" w14:textId="7B0199DF"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$51,134,326</w:t>
            </w:r>
          </w:p>
        </w:tc>
        <w:tc>
          <w:tcPr>
            <w:tcW w:w="1127" w:type="dxa"/>
            <w:noWrap/>
            <w:hideMark/>
          </w:tcPr>
          <w:p w14:paraId="7EDC9D4E" w14:textId="0778E8B1"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$20,773,428</w:t>
            </w:r>
          </w:p>
        </w:tc>
        <w:tc>
          <w:tcPr>
            <w:tcW w:w="1219" w:type="dxa"/>
            <w:tcBorders>
              <w:right w:val="single" w:sz="4" w:space="0" w:color="7F7F7F"/>
            </w:tcBorders>
            <w:noWrap/>
            <w:hideMark/>
          </w:tcPr>
          <w:p w14:paraId="708BC24D" w14:textId="44837856"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$81,495,224</w:t>
            </w:r>
          </w:p>
        </w:tc>
      </w:tr>
      <w:tr w:rsidR="00880057" w:rsidRPr="00CE304A" w14:paraId="0FBA6780" w14:textId="77777777" w:rsidTr="001B23C9">
        <w:trPr>
          <w:gridAfter w:val="3"/>
          <w:wAfter w:w="3290" w:type="dxa"/>
          <w:trHeight w:val="245"/>
        </w:trPr>
        <w:tc>
          <w:tcPr>
            <w:cnfStyle w:val="001000000000" w:firstRow="0" w:lastRow="0" w:firstColumn="1" w:lastColumn="0" w:oddVBand="0" w:evenVBand="0" w:oddHBand="0" w:evenHBand="0" w:firstRowFirstColumn="0" w:firstRowLastColumn="0" w:lastRowFirstColumn="0" w:lastRowLastColumn="0"/>
            <w:tcW w:w="589" w:type="dxa"/>
            <w:noWrap/>
            <w:hideMark/>
          </w:tcPr>
          <w:p w14:paraId="61A88182" w14:textId="77777777" w:rsidR="00880057" w:rsidRPr="001C2012" w:rsidRDefault="00880057" w:rsidP="00880057">
            <w:pPr>
              <w:pStyle w:val="NoSpacing1"/>
              <w:rPr>
                <w:sz w:val="18"/>
                <w:szCs w:val="18"/>
              </w:rPr>
            </w:pPr>
            <w:r w:rsidRPr="001C2012">
              <w:rPr>
                <w:sz w:val="18"/>
                <w:szCs w:val="18"/>
              </w:rPr>
              <w:t>70</w:t>
            </w:r>
          </w:p>
        </w:tc>
        <w:tc>
          <w:tcPr>
            <w:tcW w:w="1536" w:type="dxa"/>
            <w:noWrap/>
            <w:hideMark/>
          </w:tcPr>
          <w:p w14:paraId="187D32E4" w14:textId="441139A0"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984786">
              <w:rPr>
                <w:sz w:val="18"/>
                <w:szCs w:val="18"/>
              </w:rPr>
              <w:t>$30,452,374</w:t>
            </w:r>
          </w:p>
        </w:tc>
        <w:tc>
          <w:tcPr>
            <w:tcW w:w="1308" w:type="dxa"/>
            <w:noWrap/>
            <w:hideMark/>
          </w:tcPr>
          <w:p w14:paraId="1616266E" w14:textId="63DC92DA"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984786">
              <w:rPr>
                <w:sz w:val="18"/>
                <w:szCs w:val="18"/>
              </w:rPr>
              <w:t>-$9,742,403</w:t>
            </w:r>
          </w:p>
        </w:tc>
        <w:tc>
          <w:tcPr>
            <w:tcW w:w="1536" w:type="dxa"/>
            <w:tcBorders>
              <w:right w:val="single" w:sz="4" w:space="0" w:color="7F7F7F"/>
            </w:tcBorders>
            <w:noWrap/>
            <w:hideMark/>
          </w:tcPr>
          <w:p w14:paraId="6ACCF604" w14:textId="1FFAAC55"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984786">
              <w:rPr>
                <w:sz w:val="18"/>
                <w:szCs w:val="18"/>
              </w:rPr>
              <w:t>$70,647,150</w:t>
            </w:r>
          </w:p>
        </w:tc>
        <w:tc>
          <w:tcPr>
            <w:tcW w:w="1127" w:type="dxa"/>
            <w:tcBorders>
              <w:left w:val="single" w:sz="4" w:space="0" w:color="7F7F7F"/>
            </w:tcBorders>
            <w:noWrap/>
            <w:hideMark/>
          </w:tcPr>
          <w:p w14:paraId="5406F029" w14:textId="02AC5144" w:rsidR="00880057" w:rsidRPr="00873B6C"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873B6C">
              <w:rPr>
                <w:sz w:val="18"/>
                <w:szCs w:val="18"/>
              </w:rPr>
              <w:t>$24,993,965</w:t>
            </w:r>
          </w:p>
        </w:tc>
        <w:tc>
          <w:tcPr>
            <w:tcW w:w="1127" w:type="dxa"/>
            <w:noWrap/>
            <w:hideMark/>
          </w:tcPr>
          <w:p w14:paraId="293846B6" w14:textId="27B63EE6" w:rsidR="00880057" w:rsidRPr="00873B6C"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873B6C">
              <w:rPr>
                <w:sz w:val="18"/>
                <w:szCs w:val="18"/>
              </w:rPr>
              <w:t>$10,154,098</w:t>
            </w:r>
          </w:p>
        </w:tc>
        <w:tc>
          <w:tcPr>
            <w:tcW w:w="1219" w:type="dxa"/>
            <w:tcBorders>
              <w:right w:val="single" w:sz="4" w:space="0" w:color="7F7F7F"/>
            </w:tcBorders>
            <w:noWrap/>
            <w:hideMark/>
          </w:tcPr>
          <w:p w14:paraId="6EFD8A95" w14:textId="1597C2F2" w:rsidR="00880057" w:rsidRPr="00873B6C"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873B6C">
              <w:rPr>
                <w:sz w:val="18"/>
                <w:szCs w:val="18"/>
              </w:rPr>
              <w:t>$39,833,831</w:t>
            </w:r>
          </w:p>
        </w:tc>
      </w:tr>
      <w:tr w:rsidR="00880057" w:rsidRPr="00CE304A" w14:paraId="0085C7DD" w14:textId="77777777" w:rsidTr="001B23C9">
        <w:trPr>
          <w:gridAfter w:val="3"/>
          <w:cnfStyle w:val="000000100000" w:firstRow="0" w:lastRow="0" w:firstColumn="0" w:lastColumn="0" w:oddVBand="0" w:evenVBand="0" w:oddHBand="1" w:evenHBand="0" w:firstRowFirstColumn="0" w:firstRowLastColumn="0" w:lastRowFirstColumn="0" w:lastRowLastColumn="0"/>
          <w:wAfter w:w="3290" w:type="dxa"/>
          <w:trHeight w:val="245"/>
        </w:trPr>
        <w:tc>
          <w:tcPr>
            <w:cnfStyle w:val="001000000000" w:firstRow="0" w:lastRow="0" w:firstColumn="1" w:lastColumn="0" w:oddVBand="0" w:evenVBand="0" w:oddHBand="0" w:evenHBand="0" w:firstRowFirstColumn="0" w:firstRowLastColumn="0" w:lastRowFirstColumn="0" w:lastRowLastColumn="0"/>
            <w:tcW w:w="589" w:type="dxa"/>
            <w:noWrap/>
            <w:hideMark/>
          </w:tcPr>
          <w:p w14:paraId="7D21463B" w14:textId="77777777" w:rsidR="00CE304A" w:rsidRPr="001C2012" w:rsidRDefault="00CE304A" w:rsidP="001C2012">
            <w:pPr>
              <w:pStyle w:val="NoSpacing1"/>
              <w:rPr>
                <w:sz w:val="18"/>
                <w:szCs w:val="18"/>
              </w:rPr>
            </w:pPr>
            <w:r w:rsidRPr="001C2012">
              <w:rPr>
                <w:sz w:val="18"/>
                <w:szCs w:val="18"/>
              </w:rPr>
              <w:t>2015</w:t>
            </w:r>
          </w:p>
        </w:tc>
        <w:tc>
          <w:tcPr>
            <w:tcW w:w="1536" w:type="dxa"/>
            <w:noWrap/>
            <w:hideMark/>
          </w:tcPr>
          <w:p w14:paraId="00903023" w14:textId="77777777" w:rsidR="00CE304A" w:rsidRPr="00880057" w:rsidRDefault="00CE304A" w:rsidP="001C2012">
            <w:pPr>
              <w:pStyle w:val="NoSpacing1"/>
              <w:cnfStyle w:val="000000100000" w:firstRow="0" w:lastRow="0" w:firstColumn="0" w:lastColumn="0" w:oddVBand="0" w:evenVBand="0" w:oddHBand="1" w:evenHBand="0" w:firstRowFirstColumn="0" w:firstRowLastColumn="0" w:lastRowFirstColumn="0" w:lastRowLastColumn="0"/>
              <w:rPr>
                <w:sz w:val="18"/>
                <w:szCs w:val="18"/>
              </w:rPr>
            </w:pPr>
          </w:p>
        </w:tc>
        <w:tc>
          <w:tcPr>
            <w:tcW w:w="1308" w:type="dxa"/>
            <w:noWrap/>
            <w:hideMark/>
          </w:tcPr>
          <w:p w14:paraId="36935501" w14:textId="77777777" w:rsidR="00CE304A" w:rsidRPr="00880057" w:rsidRDefault="00CE304A" w:rsidP="001C2012">
            <w:pPr>
              <w:pStyle w:val="NoSpacing1"/>
              <w:cnfStyle w:val="000000100000" w:firstRow="0" w:lastRow="0" w:firstColumn="0" w:lastColumn="0" w:oddVBand="0" w:evenVBand="0" w:oddHBand="1" w:evenHBand="0" w:firstRowFirstColumn="0" w:firstRowLastColumn="0" w:lastRowFirstColumn="0" w:lastRowLastColumn="0"/>
              <w:rPr>
                <w:sz w:val="18"/>
                <w:szCs w:val="18"/>
              </w:rPr>
            </w:pPr>
          </w:p>
        </w:tc>
        <w:tc>
          <w:tcPr>
            <w:tcW w:w="1536" w:type="dxa"/>
            <w:tcBorders>
              <w:right w:val="single" w:sz="4" w:space="0" w:color="7F7F7F"/>
            </w:tcBorders>
            <w:noWrap/>
            <w:hideMark/>
          </w:tcPr>
          <w:p w14:paraId="4D30DA3C" w14:textId="77777777" w:rsidR="00CE304A" w:rsidRPr="00984786" w:rsidRDefault="00CE304A" w:rsidP="001C2012">
            <w:pPr>
              <w:pStyle w:val="NoSpacing1"/>
              <w:cnfStyle w:val="000000100000" w:firstRow="0" w:lastRow="0" w:firstColumn="0" w:lastColumn="0" w:oddVBand="0" w:evenVBand="0" w:oddHBand="1" w:evenHBand="0" w:firstRowFirstColumn="0" w:firstRowLastColumn="0" w:lastRowFirstColumn="0" w:lastRowLastColumn="0"/>
              <w:rPr>
                <w:sz w:val="18"/>
                <w:szCs w:val="18"/>
              </w:rPr>
            </w:pPr>
          </w:p>
        </w:tc>
        <w:tc>
          <w:tcPr>
            <w:tcW w:w="1127" w:type="dxa"/>
            <w:tcBorders>
              <w:left w:val="single" w:sz="4" w:space="0" w:color="7F7F7F"/>
            </w:tcBorders>
            <w:noWrap/>
            <w:hideMark/>
          </w:tcPr>
          <w:p w14:paraId="6631110D" w14:textId="77777777" w:rsidR="00CE304A" w:rsidRPr="00873B6C" w:rsidRDefault="00CE304A" w:rsidP="001C2012">
            <w:pPr>
              <w:pStyle w:val="NoSpacing1"/>
              <w:cnfStyle w:val="000000100000" w:firstRow="0" w:lastRow="0" w:firstColumn="0" w:lastColumn="0" w:oddVBand="0" w:evenVBand="0" w:oddHBand="1" w:evenHBand="0" w:firstRowFirstColumn="0" w:firstRowLastColumn="0" w:lastRowFirstColumn="0" w:lastRowLastColumn="0"/>
              <w:rPr>
                <w:sz w:val="18"/>
                <w:szCs w:val="18"/>
              </w:rPr>
            </w:pPr>
          </w:p>
        </w:tc>
        <w:tc>
          <w:tcPr>
            <w:tcW w:w="1127" w:type="dxa"/>
            <w:noWrap/>
            <w:hideMark/>
          </w:tcPr>
          <w:p w14:paraId="03681716" w14:textId="77777777" w:rsidR="00CE304A" w:rsidRPr="00873B6C" w:rsidRDefault="00CE304A" w:rsidP="001C2012">
            <w:pPr>
              <w:pStyle w:val="NoSpacing1"/>
              <w:cnfStyle w:val="000000100000" w:firstRow="0" w:lastRow="0" w:firstColumn="0" w:lastColumn="0" w:oddVBand="0" w:evenVBand="0" w:oddHBand="1" w:evenHBand="0" w:firstRowFirstColumn="0" w:firstRowLastColumn="0" w:lastRowFirstColumn="0" w:lastRowLastColumn="0"/>
              <w:rPr>
                <w:sz w:val="18"/>
                <w:szCs w:val="18"/>
              </w:rPr>
            </w:pPr>
          </w:p>
        </w:tc>
        <w:tc>
          <w:tcPr>
            <w:tcW w:w="1219" w:type="dxa"/>
            <w:tcBorders>
              <w:right w:val="single" w:sz="4" w:space="0" w:color="7F7F7F"/>
            </w:tcBorders>
            <w:noWrap/>
            <w:hideMark/>
          </w:tcPr>
          <w:p w14:paraId="4B4A6808" w14:textId="77777777" w:rsidR="00CE304A" w:rsidRPr="00873B6C" w:rsidRDefault="00CE304A" w:rsidP="001C2012">
            <w:pPr>
              <w:pStyle w:val="NoSpacing1"/>
              <w:cnfStyle w:val="000000100000" w:firstRow="0" w:lastRow="0" w:firstColumn="0" w:lastColumn="0" w:oddVBand="0" w:evenVBand="0" w:oddHBand="1" w:evenHBand="0" w:firstRowFirstColumn="0" w:firstRowLastColumn="0" w:lastRowFirstColumn="0" w:lastRowLastColumn="0"/>
              <w:rPr>
                <w:sz w:val="18"/>
                <w:szCs w:val="18"/>
              </w:rPr>
            </w:pPr>
          </w:p>
        </w:tc>
      </w:tr>
      <w:tr w:rsidR="00880057" w:rsidRPr="00CE304A" w14:paraId="56A12D6B" w14:textId="77777777" w:rsidTr="001B23C9">
        <w:trPr>
          <w:gridAfter w:val="3"/>
          <w:wAfter w:w="3290" w:type="dxa"/>
          <w:trHeight w:val="245"/>
        </w:trPr>
        <w:tc>
          <w:tcPr>
            <w:cnfStyle w:val="001000000000" w:firstRow="0" w:lastRow="0" w:firstColumn="1" w:lastColumn="0" w:oddVBand="0" w:evenVBand="0" w:oddHBand="0" w:evenHBand="0" w:firstRowFirstColumn="0" w:firstRowLastColumn="0" w:lastRowFirstColumn="0" w:lastRowLastColumn="0"/>
            <w:tcW w:w="589" w:type="dxa"/>
            <w:noWrap/>
            <w:hideMark/>
          </w:tcPr>
          <w:p w14:paraId="27510B4E" w14:textId="77777777" w:rsidR="00880057" w:rsidRPr="001C2012" w:rsidRDefault="00880057" w:rsidP="00880057">
            <w:pPr>
              <w:pStyle w:val="NoSpacing1"/>
              <w:rPr>
                <w:sz w:val="18"/>
                <w:szCs w:val="18"/>
              </w:rPr>
            </w:pPr>
            <w:r w:rsidRPr="001C2012">
              <w:rPr>
                <w:sz w:val="18"/>
                <w:szCs w:val="18"/>
              </w:rPr>
              <w:t>40</w:t>
            </w:r>
          </w:p>
        </w:tc>
        <w:tc>
          <w:tcPr>
            <w:tcW w:w="1536" w:type="dxa"/>
            <w:noWrap/>
            <w:hideMark/>
          </w:tcPr>
          <w:p w14:paraId="6B2B74A5" w14:textId="6EB20B5F"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984786">
              <w:rPr>
                <w:sz w:val="18"/>
                <w:szCs w:val="18"/>
              </w:rPr>
              <w:t>$107,488,235</w:t>
            </w:r>
          </w:p>
        </w:tc>
        <w:tc>
          <w:tcPr>
            <w:tcW w:w="1308" w:type="dxa"/>
            <w:noWrap/>
            <w:hideMark/>
          </w:tcPr>
          <w:p w14:paraId="7D26C3F4" w14:textId="3F6B3B31"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984786">
              <w:rPr>
                <w:sz w:val="18"/>
                <w:szCs w:val="18"/>
              </w:rPr>
              <w:t>-$34,076,689</w:t>
            </w:r>
          </w:p>
        </w:tc>
        <w:tc>
          <w:tcPr>
            <w:tcW w:w="1536" w:type="dxa"/>
            <w:tcBorders>
              <w:right w:val="single" w:sz="4" w:space="0" w:color="7F7F7F"/>
            </w:tcBorders>
            <w:noWrap/>
            <w:hideMark/>
          </w:tcPr>
          <w:p w14:paraId="53386059" w14:textId="0FCA8E10"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984786">
              <w:rPr>
                <w:sz w:val="18"/>
                <w:szCs w:val="18"/>
              </w:rPr>
              <w:t>$249,053,160</w:t>
            </w:r>
          </w:p>
        </w:tc>
        <w:tc>
          <w:tcPr>
            <w:tcW w:w="1127" w:type="dxa"/>
            <w:tcBorders>
              <w:left w:val="single" w:sz="4" w:space="0" w:color="7F7F7F"/>
            </w:tcBorders>
            <w:noWrap/>
            <w:hideMark/>
          </w:tcPr>
          <w:p w14:paraId="34D52826" w14:textId="7A1E69AB" w:rsidR="00880057" w:rsidRPr="00873B6C"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873B6C">
              <w:rPr>
                <w:sz w:val="18"/>
                <w:szCs w:val="18"/>
              </w:rPr>
              <w:t>$92,946,422</w:t>
            </w:r>
          </w:p>
        </w:tc>
        <w:tc>
          <w:tcPr>
            <w:tcW w:w="1127" w:type="dxa"/>
            <w:noWrap/>
            <w:hideMark/>
          </w:tcPr>
          <w:p w14:paraId="70721045" w14:textId="7BC8C851" w:rsidR="00880057" w:rsidRPr="00873B6C"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873B6C">
              <w:rPr>
                <w:sz w:val="18"/>
                <w:szCs w:val="18"/>
              </w:rPr>
              <w:t>$37,758,059</w:t>
            </w:r>
          </w:p>
        </w:tc>
        <w:tc>
          <w:tcPr>
            <w:tcW w:w="1219" w:type="dxa"/>
            <w:tcBorders>
              <w:right w:val="single" w:sz="4" w:space="0" w:color="7F7F7F"/>
            </w:tcBorders>
            <w:noWrap/>
            <w:hideMark/>
          </w:tcPr>
          <w:p w14:paraId="62E7186E" w14:textId="60B9CDB9" w:rsidR="00880057" w:rsidRPr="00873B6C"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873B6C">
              <w:rPr>
                <w:sz w:val="18"/>
                <w:szCs w:val="18"/>
              </w:rPr>
              <w:t>$148,134,785</w:t>
            </w:r>
          </w:p>
        </w:tc>
      </w:tr>
      <w:tr w:rsidR="00880057" w:rsidRPr="00CE304A" w14:paraId="0E02BFE2" w14:textId="77777777" w:rsidTr="001B23C9">
        <w:trPr>
          <w:gridAfter w:val="3"/>
          <w:cnfStyle w:val="000000100000" w:firstRow="0" w:lastRow="0" w:firstColumn="0" w:lastColumn="0" w:oddVBand="0" w:evenVBand="0" w:oddHBand="1" w:evenHBand="0" w:firstRowFirstColumn="0" w:firstRowLastColumn="0" w:lastRowFirstColumn="0" w:lastRowLastColumn="0"/>
          <w:wAfter w:w="3290" w:type="dxa"/>
          <w:trHeight w:val="245"/>
        </w:trPr>
        <w:tc>
          <w:tcPr>
            <w:cnfStyle w:val="001000000000" w:firstRow="0" w:lastRow="0" w:firstColumn="1" w:lastColumn="0" w:oddVBand="0" w:evenVBand="0" w:oddHBand="0" w:evenHBand="0" w:firstRowFirstColumn="0" w:firstRowLastColumn="0" w:lastRowFirstColumn="0" w:lastRowLastColumn="0"/>
            <w:tcW w:w="589" w:type="dxa"/>
            <w:noWrap/>
            <w:hideMark/>
          </w:tcPr>
          <w:p w14:paraId="00584C93" w14:textId="77777777" w:rsidR="00880057" w:rsidRPr="001C2012" w:rsidRDefault="00880057" w:rsidP="00880057">
            <w:pPr>
              <w:pStyle w:val="NoSpacing1"/>
              <w:rPr>
                <w:sz w:val="18"/>
                <w:szCs w:val="18"/>
              </w:rPr>
            </w:pPr>
            <w:r w:rsidRPr="001C2012">
              <w:rPr>
                <w:sz w:val="18"/>
                <w:szCs w:val="18"/>
              </w:rPr>
              <w:t>65</w:t>
            </w:r>
          </w:p>
        </w:tc>
        <w:tc>
          <w:tcPr>
            <w:tcW w:w="1536" w:type="dxa"/>
            <w:noWrap/>
            <w:hideMark/>
          </w:tcPr>
          <w:p w14:paraId="567E49B1" w14:textId="68B8A552"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984786">
              <w:rPr>
                <w:sz w:val="18"/>
                <w:szCs w:val="18"/>
              </w:rPr>
              <w:t>$85,925,006</w:t>
            </w:r>
          </w:p>
        </w:tc>
        <w:tc>
          <w:tcPr>
            <w:tcW w:w="1308" w:type="dxa"/>
            <w:noWrap/>
            <w:hideMark/>
          </w:tcPr>
          <w:p w14:paraId="45DDDE2C" w14:textId="0EAB2CC2"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984786">
              <w:rPr>
                <w:sz w:val="18"/>
                <w:szCs w:val="18"/>
              </w:rPr>
              <w:t>-$27,316,821</w:t>
            </w:r>
          </w:p>
        </w:tc>
        <w:tc>
          <w:tcPr>
            <w:tcW w:w="1536" w:type="dxa"/>
            <w:tcBorders>
              <w:right w:val="single" w:sz="4" w:space="0" w:color="7F7F7F"/>
            </w:tcBorders>
            <w:noWrap/>
            <w:hideMark/>
          </w:tcPr>
          <w:p w14:paraId="6BA12229" w14:textId="57E0CC84"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984786">
              <w:rPr>
                <w:sz w:val="18"/>
                <w:szCs w:val="18"/>
              </w:rPr>
              <w:t>$199,166,833</w:t>
            </w:r>
          </w:p>
        </w:tc>
        <w:tc>
          <w:tcPr>
            <w:tcW w:w="1127" w:type="dxa"/>
            <w:tcBorders>
              <w:left w:val="single" w:sz="4" w:space="0" w:color="7F7F7F"/>
            </w:tcBorders>
            <w:noWrap/>
            <w:hideMark/>
          </w:tcPr>
          <w:p w14:paraId="1FA8797B" w14:textId="53162D9D"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$74,585,860</w:t>
            </w:r>
          </w:p>
        </w:tc>
        <w:tc>
          <w:tcPr>
            <w:tcW w:w="1127" w:type="dxa"/>
            <w:noWrap/>
            <w:hideMark/>
          </w:tcPr>
          <w:p w14:paraId="1D491D75" w14:textId="14E0C019"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$30,300,006</w:t>
            </w:r>
          </w:p>
        </w:tc>
        <w:tc>
          <w:tcPr>
            <w:tcW w:w="1219" w:type="dxa"/>
            <w:tcBorders>
              <w:right w:val="single" w:sz="4" w:space="0" w:color="7F7F7F"/>
            </w:tcBorders>
            <w:noWrap/>
            <w:hideMark/>
          </w:tcPr>
          <w:p w14:paraId="18FBC6B5" w14:textId="0D362D51" w:rsidR="00880057" w:rsidRPr="00873B6C"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873B6C">
              <w:rPr>
                <w:sz w:val="18"/>
                <w:szCs w:val="18"/>
              </w:rPr>
              <w:t>$118,871,715</w:t>
            </w:r>
          </w:p>
        </w:tc>
      </w:tr>
      <w:tr w:rsidR="00880057" w:rsidRPr="00CE304A" w14:paraId="3D7F1134" w14:textId="77777777" w:rsidTr="001B23C9">
        <w:trPr>
          <w:gridAfter w:val="3"/>
          <w:wAfter w:w="3290" w:type="dxa"/>
          <w:trHeight w:val="245"/>
        </w:trPr>
        <w:tc>
          <w:tcPr>
            <w:cnfStyle w:val="001000000000" w:firstRow="0" w:lastRow="0" w:firstColumn="1" w:lastColumn="0" w:oddVBand="0" w:evenVBand="0" w:oddHBand="0" w:evenHBand="0" w:firstRowFirstColumn="0" w:firstRowLastColumn="0" w:lastRowFirstColumn="0" w:lastRowLastColumn="0"/>
            <w:tcW w:w="589" w:type="dxa"/>
            <w:noWrap/>
            <w:hideMark/>
          </w:tcPr>
          <w:p w14:paraId="1A880870" w14:textId="77777777" w:rsidR="00880057" w:rsidRPr="001C2012" w:rsidRDefault="00880057" w:rsidP="00880057">
            <w:pPr>
              <w:pStyle w:val="NoSpacing1"/>
              <w:rPr>
                <w:sz w:val="18"/>
                <w:szCs w:val="18"/>
              </w:rPr>
            </w:pPr>
            <w:r w:rsidRPr="001C2012">
              <w:rPr>
                <w:sz w:val="18"/>
                <w:szCs w:val="18"/>
              </w:rPr>
              <w:t>70</w:t>
            </w:r>
          </w:p>
        </w:tc>
        <w:tc>
          <w:tcPr>
            <w:tcW w:w="1536" w:type="dxa"/>
            <w:noWrap/>
            <w:hideMark/>
          </w:tcPr>
          <w:p w14:paraId="6FB8612A" w14:textId="6612CD13"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984786">
              <w:rPr>
                <w:sz w:val="18"/>
                <w:szCs w:val="18"/>
              </w:rPr>
              <w:t>$73,112,556</w:t>
            </w:r>
          </w:p>
        </w:tc>
        <w:tc>
          <w:tcPr>
            <w:tcW w:w="1308" w:type="dxa"/>
            <w:noWrap/>
            <w:hideMark/>
          </w:tcPr>
          <w:p w14:paraId="0F74761B" w14:textId="7A524C08"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984786">
              <w:rPr>
                <w:sz w:val="18"/>
                <w:szCs w:val="18"/>
              </w:rPr>
              <w:t>-$23,230,578</w:t>
            </w:r>
          </w:p>
        </w:tc>
        <w:tc>
          <w:tcPr>
            <w:tcW w:w="1536" w:type="dxa"/>
            <w:tcBorders>
              <w:right w:val="single" w:sz="4" w:space="0" w:color="7F7F7F"/>
            </w:tcBorders>
            <w:noWrap/>
            <w:hideMark/>
          </w:tcPr>
          <w:p w14:paraId="01E3A861" w14:textId="423BD1F5"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984786">
              <w:rPr>
                <w:sz w:val="18"/>
                <w:szCs w:val="18"/>
              </w:rPr>
              <w:t>$169,455,690</w:t>
            </w:r>
          </w:p>
        </w:tc>
        <w:tc>
          <w:tcPr>
            <w:tcW w:w="1127" w:type="dxa"/>
            <w:tcBorders>
              <w:left w:val="single" w:sz="4" w:space="0" w:color="7F7F7F"/>
            </w:tcBorders>
            <w:noWrap/>
            <w:hideMark/>
          </w:tcPr>
          <w:p w14:paraId="15BF380E" w14:textId="77777777" w:rsidR="00880057" w:rsidRPr="001C2012"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1C2012">
              <w:rPr>
                <w:sz w:val="18"/>
                <w:szCs w:val="18"/>
              </w:rPr>
              <w:t>$63,076,564</w:t>
            </w:r>
          </w:p>
        </w:tc>
        <w:tc>
          <w:tcPr>
            <w:tcW w:w="1127" w:type="dxa"/>
            <w:noWrap/>
            <w:hideMark/>
          </w:tcPr>
          <w:p w14:paraId="63D62802" w14:textId="77777777" w:rsidR="00880057" w:rsidRPr="001C2012"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1C2012">
              <w:rPr>
                <w:sz w:val="18"/>
                <w:szCs w:val="18"/>
              </w:rPr>
              <w:t>$25,624,412</w:t>
            </w:r>
          </w:p>
        </w:tc>
        <w:tc>
          <w:tcPr>
            <w:tcW w:w="1219" w:type="dxa"/>
            <w:tcBorders>
              <w:right w:val="single" w:sz="4" w:space="0" w:color="7F7F7F"/>
            </w:tcBorders>
            <w:noWrap/>
            <w:hideMark/>
          </w:tcPr>
          <w:p w14:paraId="29C9CB0A" w14:textId="77777777" w:rsidR="00880057" w:rsidRPr="001C2012"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1C2012">
              <w:rPr>
                <w:sz w:val="18"/>
                <w:szCs w:val="18"/>
              </w:rPr>
              <w:t>$100,528,715</w:t>
            </w:r>
          </w:p>
        </w:tc>
      </w:tr>
      <w:tr w:rsidR="00880057" w:rsidRPr="00CE304A" w14:paraId="4C15CE9D" w14:textId="77777777" w:rsidTr="001B23C9">
        <w:trPr>
          <w:gridAfter w:val="3"/>
          <w:cnfStyle w:val="000000100000" w:firstRow="0" w:lastRow="0" w:firstColumn="0" w:lastColumn="0" w:oddVBand="0" w:evenVBand="0" w:oddHBand="1" w:evenHBand="0" w:firstRowFirstColumn="0" w:firstRowLastColumn="0" w:lastRowFirstColumn="0" w:lastRowLastColumn="0"/>
          <w:wAfter w:w="3290" w:type="dxa"/>
          <w:trHeight w:val="245"/>
        </w:trPr>
        <w:tc>
          <w:tcPr>
            <w:cnfStyle w:val="001000000000" w:firstRow="0" w:lastRow="0" w:firstColumn="1" w:lastColumn="0" w:oddVBand="0" w:evenVBand="0" w:oddHBand="0" w:evenHBand="0" w:firstRowFirstColumn="0" w:firstRowLastColumn="0" w:lastRowFirstColumn="0" w:lastRowLastColumn="0"/>
            <w:tcW w:w="589" w:type="dxa"/>
            <w:noWrap/>
            <w:hideMark/>
          </w:tcPr>
          <w:p w14:paraId="4EC3D82C" w14:textId="77777777" w:rsidR="00880057" w:rsidRPr="001C2012" w:rsidRDefault="00880057" w:rsidP="00880057">
            <w:pPr>
              <w:pStyle w:val="NoSpacing1"/>
              <w:rPr>
                <w:sz w:val="18"/>
                <w:szCs w:val="18"/>
              </w:rPr>
            </w:pPr>
            <w:r w:rsidRPr="001C2012">
              <w:rPr>
                <w:sz w:val="18"/>
                <w:szCs w:val="18"/>
              </w:rPr>
              <w:t>2016</w:t>
            </w:r>
          </w:p>
        </w:tc>
        <w:tc>
          <w:tcPr>
            <w:tcW w:w="1536" w:type="dxa"/>
            <w:noWrap/>
          </w:tcPr>
          <w:p w14:paraId="4A48F97C" w14:textId="2DA4B3F3"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p>
        </w:tc>
        <w:tc>
          <w:tcPr>
            <w:tcW w:w="1308" w:type="dxa"/>
            <w:noWrap/>
          </w:tcPr>
          <w:p w14:paraId="6C97DA4B" w14:textId="7EEB8D9D"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p>
        </w:tc>
        <w:tc>
          <w:tcPr>
            <w:tcW w:w="1536" w:type="dxa"/>
            <w:tcBorders>
              <w:right w:val="single" w:sz="4" w:space="0" w:color="7F7F7F"/>
            </w:tcBorders>
            <w:noWrap/>
          </w:tcPr>
          <w:p w14:paraId="189E5DB1" w14:textId="4E39151B" w:rsidR="00880057" w:rsidRPr="00984786"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p>
        </w:tc>
        <w:tc>
          <w:tcPr>
            <w:tcW w:w="1127" w:type="dxa"/>
            <w:tcBorders>
              <w:left w:val="single" w:sz="4" w:space="0" w:color="7F7F7F"/>
            </w:tcBorders>
            <w:noWrap/>
            <w:hideMark/>
          </w:tcPr>
          <w:p w14:paraId="0E7D1F41" w14:textId="77777777"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p>
        </w:tc>
        <w:tc>
          <w:tcPr>
            <w:tcW w:w="1127" w:type="dxa"/>
            <w:noWrap/>
            <w:hideMark/>
          </w:tcPr>
          <w:p w14:paraId="7124ACD1" w14:textId="77777777"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p>
        </w:tc>
        <w:tc>
          <w:tcPr>
            <w:tcW w:w="1219" w:type="dxa"/>
            <w:tcBorders>
              <w:right w:val="single" w:sz="4" w:space="0" w:color="7F7F7F"/>
            </w:tcBorders>
            <w:noWrap/>
            <w:hideMark/>
          </w:tcPr>
          <w:p w14:paraId="2706D493" w14:textId="77777777"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p>
        </w:tc>
      </w:tr>
      <w:tr w:rsidR="00880057" w:rsidRPr="00CE304A" w14:paraId="00996C62" w14:textId="77777777" w:rsidTr="001B23C9">
        <w:trPr>
          <w:gridAfter w:val="3"/>
          <w:wAfter w:w="3290" w:type="dxa"/>
          <w:trHeight w:val="245"/>
        </w:trPr>
        <w:tc>
          <w:tcPr>
            <w:cnfStyle w:val="001000000000" w:firstRow="0" w:lastRow="0" w:firstColumn="1" w:lastColumn="0" w:oddVBand="0" w:evenVBand="0" w:oddHBand="0" w:evenHBand="0" w:firstRowFirstColumn="0" w:firstRowLastColumn="0" w:lastRowFirstColumn="0" w:lastRowLastColumn="0"/>
            <w:tcW w:w="589" w:type="dxa"/>
            <w:noWrap/>
            <w:hideMark/>
          </w:tcPr>
          <w:p w14:paraId="7BA43440" w14:textId="77777777" w:rsidR="00880057" w:rsidRPr="001C2012" w:rsidRDefault="00880057" w:rsidP="00880057">
            <w:pPr>
              <w:pStyle w:val="NoSpacing1"/>
              <w:rPr>
                <w:sz w:val="18"/>
                <w:szCs w:val="18"/>
              </w:rPr>
            </w:pPr>
            <w:r w:rsidRPr="001C2012">
              <w:rPr>
                <w:sz w:val="18"/>
                <w:szCs w:val="18"/>
              </w:rPr>
              <w:t>40</w:t>
            </w:r>
          </w:p>
        </w:tc>
        <w:tc>
          <w:tcPr>
            <w:tcW w:w="1536" w:type="dxa"/>
            <w:noWrap/>
            <w:hideMark/>
          </w:tcPr>
          <w:p w14:paraId="65756592" w14:textId="0BF27202"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984786">
              <w:rPr>
                <w:sz w:val="18"/>
                <w:szCs w:val="18"/>
              </w:rPr>
              <w:t>$109,304,954</w:t>
            </w:r>
          </w:p>
        </w:tc>
        <w:tc>
          <w:tcPr>
            <w:tcW w:w="1308" w:type="dxa"/>
            <w:noWrap/>
            <w:hideMark/>
          </w:tcPr>
          <w:p w14:paraId="63C688A6" w14:textId="6F0C6D92"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984786">
              <w:rPr>
                <w:sz w:val="18"/>
                <w:szCs w:val="18"/>
              </w:rPr>
              <w:t>-$34,676,755</w:t>
            </w:r>
          </w:p>
        </w:tc>
        <w:tc>
          <w:tcPr>
            <w:tcW w:w="1536" w:type="dxa"/>
            <w:tcBorders>
              <w:right w:val="single" w:sz="4" w:space="0" w:color="7F7F7F"/>
            </w:tcBorders>
            <w:noWrap/>
            <w:hideMark/>
          </w:tcPr>
          <w:p w14:paraId="527536C0" w14:textId="4AD478BE"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984786">
              <w:rPr>
                <w:sz w:val="18"/>
                <w:szCs w:val="18"/>
              </w:rPr>
              <w:t>$253,286,663</w:t>
            </w:r>
          </w:p>
        </w:tc>
        <w:tc>
          <w:tcPr>
            <w:tcW w:w="1127" w:type="dxa"/>
            <w:tcBorders>
              <w:left w:val="single" w:sz="4" w:space="0" w:color="7F7F7F"/>
            </w:tcBorders>
            <w:noWrap/>
            <w:hideMark/>
          </w:tcPr>
          <w:p w14:paraId="75C2338C" w14:textId="77777777" w:rsidR="00880057" w:rsidRPr="001C2012"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1C2012">
              <w:rPr>
                <w:sz w:val="18"/>
                <w:szCs w:val="18"/>
              </w:rPr>
              <w:t>$89,055,374</w:t>
            </w:r>
          </w:p>
        </w:tc>
        <w:tc>
          <w:tcPr>
            <w:tcW w:w="1127" w:type="dxa"/>
            <w:noWrap/>
            <w:hideMark/>
          </w:tcPr>
          <w:p w14:paraId="36406CDC" w14:textId="77777777" w:rsidR="00880057" w:rsidRPr="001C2012"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1C2012">
              <w:rPr>
                <w:sz w:val="18"/>
                <w:szCs w:val="18"/>
              </w:rPr>
              <w:t>$36,177,323</w:t>
            </w:r>
          </w:p>
        </w:tc>
        <w:tc>
          <w:tcPr>
            <w:tcW w:w="1219" w:type="dxa"/>
            <w:tcBorders>
              <w:right w:val="single" w:sz="4" w:space="0" w:color="7F7F7F"/>
            </w:tcBorders>
            <w:noWrap/>
            <w:hideMark/>
          </w:tcPr>
          <w:p w14:paraId="609CF615" w14:textId="77777777" w:rsidR="00880057" w:rsidRPr="001C2012"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1C2012">
              <w:rPr>
                <w:sz w:val="18"/>
                <w:szCs w:val="18"/>
              </w:rPr>
              <w:t>$141,933,425</w:t>
            </w:r>
          </w:p>
        </w:tc>
      </w:tr>
      <w:tr w:rsidR="00880057" w:rsidRPr="00CE304A" w14:paraId="18EBF87D" w14:textId="77777777" w:rsidTr="001B23C9">
        <w:trPr>
          <w:gridAfter w:val="3"/>
          <w:cnfStyle w:val="000000100000" w:firstRow="0" w:lastRow="0" w:firstColumn="0" w:lastColumn="0" w:oddVBand="0" w:evenVBand="0" w:oddHBand="1" w:evenHBand="0" w:firstRowFirstColumn="0" w:firstRowLastColumn="0" w:lastRowFirstColumn="0" w:lastRowLastColumn="0"/>
          <w:wAfter w:w="3290" w:type="dxa"/>
          <w:trHeight w:val="245"/>
        </w:trPr>
        <w:tc>
          <w:tcPr>
            <w:cnfStyle w:val="001000000000" w:firstRow="0" w:lastRow="0" w:firstColumn="1" w:lastColumn="0" w:oddVBand="0" w:evenVBand="0" w:oddHBand="0" w:evenHBand="0" w:firstRowFirstColumn="0" w:firstRowLastColumn="0" w:lastRowFirstColumn="0" w:lastRowLastColumn="0"/>
            <w:tcW w:w="589" w:type="dxa"/>
            <w:noWrap/>
            <w:hideMark/>
          </w:tcPr>
          <w:p w14:paraId="18DF9C88" w14:textId="77777777" w:rsidR="00880057" w:rsidRPr="001C2012" w:rsidRDefault="00880057" w:rsidP="00880057">
            <w:pPr>
              <w:pStyle w:val="NoSpacing1"/>
              <w:rPr>
                <w:sz w:val="18"/>
                <w:szCs w:val="18"/>
              </w:rPr>
            </w:pPr>
            <w:r w:rsidRPr="001C2012">
              <w:rPr>
                <w:sz w:val="18"/>
                <w:szCs w:val="18"/>
              </w:rPr>
              <w:t>65</w:t>
            </w:r>
          </w:p>
        </w:tc>
        <w:tc>
          <w:tcPr>
            <w:tcW w:w="1536" w:type="dxa"/>
            <w:noWrap/>
            <w:hideMark/>
          </w:tcPr>
          <w:p w14:paraId="5584D856" w14:textId="5428F0DB"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984786">
              <w:rPr>
                <w:sz w:val="18"/>
                <w:szCs w:val="18"/>
              </w:rPr>
              <w:t>$95,810,665</w:t>
            </w:r>
          </w:p>
        </w:tc>
        <w:tc>
          <w:tcPr>
            <w:tcW w:w="1308" w:type="dxa"/>
            <w:noWrap/>
            <w:hideMark/>
          </w:tcPr>
          <w:p w14:paraId="646C32CB" w14:textId="41ACE79C"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984786">
              <w:rPr>
                <w:sz w:val="18"/>
                <w:szCs w:val="18"/>
              </w:rPr>
              <w:t>-$30,462,266</w:t>
            </w:r>
          </w:p>
        </w:tc>
        <w:tc>
          <w:tcPr>
            <w:tcW w:w="1536" w:type="dxa"/>
            <w:tcBorders>
              <w:right w:val="single" w:sz="4" w:space="0" w:color="7F7F7F"/>
            </w:tcBorders>
            <w:noWrap/>
            <w:hideMark/>
          </w:tcPr>
          <w:p w14:paraId="25E58C49" w14:textId="213E34A6" w:rsidR="00880057" w:rsidRPr="00880057"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984786">
              <w:rPr>
                <w:sz w:val="18"/>
                <w:szCs w:val="18"/>
              </w:rPr>
              <w:t>$222,083,595</w:t>
            </w:r>
          </w:p>
        </w:tc>
        <w:tc>
          <w:tcPr>
            <w:tcW w:w="1127" w:type="dxa"/>
            <w:tcBorders>
              <w:left w:val="single" w:sz="4" w:space="0" w:color="7F7F7F"/>
            </w:tcBorders>
            <w:noWrap/>
            <w:hideMark/>
          </w:tcPr>
          <w:p w14:paraId="72438DA1" w14:textId="77777777"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1C2012">
              <w:rPr>
                <w:sz w:val="18"/>
                <w:szCs w:val="18"/>
              </w:rPr>
              <w:t>$77,956,033</w:t>
            </w:r>
          </w:p>
        </w:tc>
        <w:tc>
          <w:tcPr>
            <w:tcW w:w="1127" w:type="dxa"/>
            <w:noWrap/>
            <w:hideMark/>
          </w:tcPr>
          <w:p w14:paraId="249D53C6" w14:textId="77777777"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1C2012">
              <w:rPr>
                <w:sz w:val="18"/>
                <w:szCs w:val="18"/>
              </w:rPr>
              <w:t>$31,668,925</w:t>
            </w:r>
          </w:p>
        </w:tc>
        <w:tc>
          <w:tcPr>
            <w:tcW w:w="1219" w:type="dxa"/>
            <w:tcBorders>
              <w:right w:val="single" w:sz="4" w:space="0" w:color="7F7F7F"/>
            </w:tcBorders>
            <w:noWrap/>
            <w:hideMark/>
          </w:tcPr>
          <w:p w14:paraId="42A39731" w14:textId="77777777" w:rsidR="00880057" w:rsidRPr="001C2012" w:rsidRDefault="00880057" w:rsidP="00880057">
            <w:pPr>
              <w:pStyle w:val="NoSpacing1"/>
              <w:cnfStyle w:val="000000100000" w:firstRow="0" w:lastRow="0" w:firstColumn="0" w:lastColumn="0" w:oddVBand="0" w:evenVBand="0" w:oddHBand="1" w:evenHBand="0" w:firstRowFirstColumn="0" w:firstRowLastColumn="0" w:lastRowFirstColumn="0" w:lastRowLastColumn="0"/>
              <w:rPr>
                <w:sz w:val="18"/>
                <w:szCs w:val="18"/>
              </w:rPr>
            </w:pPr>
            <w:r w:rsidRPr="001C2012">
              <w:rPr>
                <w:sz w:val="18"/>
                <w:szCs w:val="18"/>
              </w:rPr>
              <w:t>$124,243,140</w:t>
            </w:r>
          </w:p>
        </w:tc>
      </w:tr>
      <w:tr w:rsidR="00880057" w:rsidRPr="00CE304A" w14:paraId="73335730" w14:textId="77777777" w:rsidTr="001B23C9">
        <w:trPr>
          <w:gridAfter w:val="3"/>
          <w:wAfter w:w="3290" w:type="dxa"/>
          <w:trHeight w:val="245"/>
        </w:trPr>
        <w:tc>
          <w:tcPr>
            <w:cnfStyle w:val="001000000000" w:firstRow="0" w:lastRow="0" w:firstColumn="1" w:lastColumn="0" w:oddVBand="0" w:evenVBand="0" w:oddHBand="0" w:evenHBand="0" w:firstRowFirstColumn="0" w:firstRowLastColumn="0" w:lastRowFirstColumn="0" w:lastRowLastColumn="0"/>
            <w:tcW w:w="589" w:type="dxa"/>
            <w:noWrap/>
            <w:hideMark/>
          </w:tcPr>
          <w:p w14:paraId="2FA8840A" w14:textId="71A19B02" w:rsidR="00880057" w:rsidRPr="001C2012" w:rsidRDefault="00880057" w:rsidP="00880057">
            <w:pPr>
              <w:pStyle w:val="NoSpacing1"/>
              <w:rPr>
                <w:sz w:val="18"/>
                <w:szCs w:val="18"/>
              </w:rPr>
            </w:pPr>
            <w:r>
              <w:rPr>
                <w:sz w:val="18"/>
                <w:szCs w:val="18"/>
              </w:rPr>
              <w:t>7</w:t>
            </w:r>
            <w:r w:rsidRPr="001C2012">
              <w:rPr>
                <w:sz w:val="18"/>
                <w:szCs w:val="18"/>
              </w:rPr>
              <w:t>0</w:t>
            </w:r>
          </w:p>
        </w:tc>
        <w:tc>
          <w:tcPr>
            <w:tcW w:w="1536" w:type="dxa"/>
            <w:noWrap/>
            <w:hideMark/>
          </w:tcPr>
          <w:p w14:paraId="6EDE490C" w14:textId="6A768A23"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984786">
              <w:rPr>
                <w:sz w:val="18"/>
                <w:szCs w:val="18"/>
              </w:rPr>
              <w:t>$73,226,288</w:t>
            </w:r>
          </w:p>
        </w:tc>
        <w:tc>
          <w:tcPr>
            <w:tcW w:w="1308" w:type="dxa"/>
            <w:noWrap/>
            <w:hideMark/>
          </w:tcPr>
          <w:p w14:paraId="60A55442" w14:textId="609E45A4"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984786">
              <w:rPr>
                <w:sz w:val="18"/>
                <w:szCs w:val="18"/>
              </w:rPr>
              <w:t>-$23,313,403</w:t>
            </w:r>
          </w:p>
        </w:tc>
        <w:tc>
          <w:tcPr>
            <w:tcW w:w="1536" w:type="dxa"/>
            <w:tcBorders>
              <w:right w:val="single" w:sz="4" w:space="0" w:color="7F7F7F"/>
            </w:tcBorders>
            <w:noWrap/>
            <w:hideMark/>
          </w:tcPr>
          <w:p w14:paraId="419E4E67" w14:textId="32E2981E" w:rsidR="00880057" w:rsidRPr="00880057"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984786">
              <w:rPr>
                <w:sz w:val="18"/>
                <w:szCs w:val="18"/>
              </w:rPr>
              <w:t>$169,765,979</w:t>
            </w:r>
          </w:p>
        </w:tc>
        <w:tc>
          <w:tcPr>
            <w:tcW w:w="1127" w:type="dxa"/>
            <w:tcBorders>
              <w:left w:val="single" w:sz="4" w:space="0" w:color="7F7F7F"/>
            </w:tcBorders>
            <w:noWrap/>
            <w:hideMark/>
          </w:tcPr>
          <w:p w14:paraId="7132AADE" w14:textId="77777777" w:rsidR="00880057" w:rsidRPr="001C2012"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1C2012">
              <w:rPr>
                <w:sz w:val="18"/>
                <w:szCs w:val="18"/>
              </w:rPr>
              <w:t>$59,778,074</w:t>
            </w:r>
          </w:p>
        </w:tc>
        <w:tc>
          <w:tcPr>
            <w:tcW w:w="1127" w:type="dxa"/>
            <w:noWrap/>
            <w:hideMark/>
          </w:tcPr>
          <w:p w14:paraId="3FD2049A" w14:textId="77777777" w:rsidR="00880057" w:rsidRPr="001C2012"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1C2012">
              <w:rPr>
                <w:sz w:val="18"/>
                <w:szCs w:val="18"/>
              </w:rPr>
              <w:t>$24,284,628</w:t>
            </w:r>
          </w:p>
        </w:tc>
        <w:tc>
          <w:tcPr>
            <w:tcW w:w="1219" w:type="dxa"/>
            <w:tcBorders>
              <w:right w:val="single" w:sz="4" w:space="0" w:color="7F7F7F"/>
            </w:tcBorders>
            <w:noWrap/>
            <w:hideMark/>
          </w:tcPr>
          <w:p w14:paraId="77076ED2" w14:textId="77777777" w:rsidR="00880057" w:rsidRPr="001C2012" w:rsidRDefault="00880057" w:rsidP="00880057">
            <w:pPr>
              <w:pStyle w:val="NoSpacing1"/>
              <w:cnfStyle w:val="000000000000" w:firstRow="0" w:lastRow="0" w:firstColumn="0" w:lastColumn="0" w:oddVBand="0" w:evenVBand="0" w:oddHBand="0" w:evenHBand="0" w:firstRowFirstColumn="0" w:firstRowLastColumn="0" w:lastRowFirstColumn="0" w:lastRowLastColumn="0"/>
              <w:rPr>
                <w:sz w:val="18"/>
                <w:szCs w:val="18"/>
              </w:rPr>
            </w:pPr>
            <w:r w:rsidRPr="001C2012">
              <w:rPr>
                <w:sz w:val="18"/>
                <w:szCs w:val="18"/>
              </w:rPr>
              <w:t>$95,271,519</w:t>
            </w:r>
          </w:p>
        </w:tc>
      </w:tr>
    </w:tbl>
    <w:p w14:paraId="13A4B1AB" w14:textId="77777777" w:rsidR="00907499" w:rsidRPr="000479C4" w:rsidRDefault="00907499" w:rsidP="0097041F"/>
    <w:sectPr w:rsidR="00907499" w:rsidRPr="000479C4" w:rsidSect="0097041F">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EA4BBE" w14:textId="77777777" w:rsidR="00603B79" w:rsidRDefault="00603B79" w:rsidP="001C2012">
      <w:r>
        <w:separator/>
      </w:r>
    </w:p>
    <w:p w14:paraId="2E1B3F11" w14:textId="77777777" w:rsidR="00603B79" w:rsidRDefault="00603B79"/>
  </w:endnote>
  <w:endnote w:type="continuationSeparator" w:id="0">
    <w:p w14:paraId="599CD4E2" w14:textId="77777777" w:rsidR="00603B79" w:rsidRDefault="00603B79" w:rsidP="001C2012">
      <w:r>
        <w:continuationSeparator/>
      </w:r>
    </w:p>
    <w:p w14:paraId="08E288E3" w14:textId="77777777" w:rsidR="00603B79" w:rsidRDefault="00603B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A07B0" w14:textId="77777777" w:rsidR="00603B79" w:rsidRDefault="00603B79" w:rsidP="001C2012">
    <w:pPr>
      <w:pStyle w:val="Footer"/>
    </w:pPr>
    <w:r>
      <w:fldChar w:fldCharType="begin"/>
    </w:r>
    <w:r>
      <w:instrText xml:space="preserve"> PAGE   \* MERGEFORMAT </w:instrText>
    </w:r>
    <w:r>
      <w:fldChar w:fldCharType="separate"/>
    </w:r>
    <w:r w:rsidR="008B1A52">
      <w:rPr>
        <w:noProof/>
      </w:rPr>
      <w:t>13</w:t>
    </w:r>
    <w:r>
      <w:rPr>
        <w:noProof/>
      </w:rPr>
      <w:fldChar w:fldCharType="end"/>
    </w:r>
  </w:p>
  <w:p w14:paraId="7145E73E" w14:textId="77777777" w:rsidR="00603B79" w:rsidRDefault="00603B79" w:rsidP="001C20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BCF92B" w14:textId="77777777" w:rsidR="00603B79" w:rsidRDefault="00603B79" w:rsidP="001C2012">
      <w:r>
        <w:separator/>
      </w:r>
    </w:p>
    <w:p w14:paraId="65DD0071" w14:textId="77777777" w:rsidR="00603B79" w:rsidRDefault="00603B79"/>
  </w:footnote>
  <w:footnote w:type="continuationSeparator" w:id="0">
    <w:p w14:paraId="7C1D4B12" w14:textId="77777777" w:rsidR="00603B79" w:rsidRDefault="00603B79" w:rsidP="001C2012">
      <w:r>
        <w:continuationSeparator/>
      </w:r>
    </w:p>
    <w:p w14:paraId="1D668BB1" w14:textId="77777777" w:rsidR="00603B79" w:rsidRDefault="00603B79"/>
  </w:footnote>
  <w:footnote w:id="1">
    <w:p w14:paraId="6DB3F285" w14:textId="77777777" w:rsidR="00603B79" w:rsidRDefault="00603B79" w:rsidP="001C2012">
      <w:pPr>
        <w:pStyle w:val="FootnoteText"/>
      </w:pPr>
      <w:r>
        <w:rPr>
          <w:rStyle w:val="FootnoteReference"/>
        </w:rPr>
        <w:footnoteRef/>
      </w:r>
      <w:r>
        <w:t xml:space="preserve"> </w:t>
      </w:r>
      <w:r>
        <w:fldChar w:fldCharType="begin"/>
      </w:r>
      <w:r>
        <w:instrText xml:space="preserve"> ADDIN ZOTERO_ITEM CSL_CITATION {"citationID":"rorqGfXW","properties":{"formattedCitation":"{\\rtf US EPA, \\uc0\\u8220{}2015 National Ambient Air Quality Standards for Ozone.\\uc0\\u8221{}}","plainCitation":"US EPA, “2015 National Ambient Air Quality Standards for Ozone.”"},"citationItems":[{"id":378,"uris":["http://zotero.org/groups/493296/items/KRAIDZ5N"],"uri":["http://zotero.org/groups/493296/items/KRAIDZ5N"],"itemData":{"type":"legislation","title":"National Ambient Air Quality Standards for Ozone","page":"65292-65468","volume":"80","note":"mlzsync1:0136{\"type\":\"statute\",\"xtype\":\"regulation\",\"extrafields\":{\"jurisdiction\":\"us\",\"regulationType\":\"Final Rule\",\"publicationDate\":\"2015-10-26\"}}","shortTitle":"2015 National Ambient Air Quality Standards for Ozone","author":[{"family":"US EPA","given":"","isInstitution":1}],"issued":{"raw":"October 26, 2015"}}}],"schema":"https://github.com/citation-style-language/schema/raw/master/csl-citation.json"} </w:instrText>
      </w:r>
      <w:r>
        <w:fldChar w:fldCharType="separate"/>
      </w:r>
      <w:r w:rsidRPr="00710D48">
        <w:rPr>
          <w:szCs w:val="24"/>
        </w:rPr>
        <w:t>US EPA, “2015 National Ambient Air Quality Standards for Ozone.”</w:t>
      </w:r>
      <w:r>
        <w:fldChar w:fldCharType="end"/>
      </w:r>
    </w:p>
  </w:footnote>
  <w:footnote w:id="2">
    <w:p w14:paraId="166A55CE" w14:textId="73127703" w:rsidR="000D796B" w:rsidRDefault="000D796B">
      <w:pPr>
        <w:pStyle w:val="FootnoteText"/>
      </w:pPr>
      <w:r>
        <w:rPr>
          <w:rStyle w:val="FootnoteReference"/>
        </w:rPr>
        <w:footnoteRef/>
      </w:r>
      <w:r>
        <w:t xml:space="preserve"> </w:t>
      </w:r>
      <w:r>
        <w:fldChar w:fldCharType="begin"/>
      </w:r>
      <w:r>
        <w:instrText xml:space="preserve"> ADDIN ZOTERO_ITEM CSL_CITATION {"citationID":"tunO1HA4","properties":{"formattedCitation":"{\\rtf Di et al., \\uc0\\u8220{}Air Pollution and Mortality in the Medicare Population.\\uc0\\u8221{}}","plainCitation":"Di et al., “Air Pollution and Mortality in the Medicare Population.”"},"citationItems":[{"id":2724,"uris":["http://zotero.org/groups/493296/items/D32I5ABQ"],"uri":["http://zotero.org/groups/493296/items/D32I5ABQ"],"itemData":{"type":"article-journal","title":"Air Pollution and Mortality in the Medicare Population","container-title":"New England Journal of Medicine","page":"2513-2522","volume":"376","issue":"26","source":"CrossRef","URL":"http://www.nejm.org/doi/10.1056/NEJMoa1702747","DOI":"10.1056/NEJMoa1702747","ISSN":"0028-4793, 1533-4406","language":"en","author":[{"family":"Di","given":"Qian"},{"family":"Wang","given":"Yan"},{"family":"Zanobetti","given":"Antonella"},{"family":"Wang","given":"Yun"},{"family":"Koutrakis","given":"Petros"},{"family":"Choirat","given":"Christine"},{"family":"Dominici","given":"Francesca"},{"family":"Schwartz","given":"Joel D."}],"issued":{"raw":"June 29, 2017"},"accessed":{"raw":"2017-06-30T15:24:11Z"}}}],"schema":"https://github.com/citation-style-language/schema/raw/master/csl-citation.json"} </w:instrText>
      </w:r>
      <w:r>
        <w:fldChar w:fldCharType="separate"/>
      </w:r>
      <w:r w:rsidRPr="000D796B">
        <w:rPr>
          <w:rFonts w:ascii="Calibri" w:hAnsi="Calibri"/>
          <w:szCs w:val="24"/>
        </w:rPr>
        <w:t>Di et al., “Air Pollution and Mortality in the Medicare Population.”</w:t>
      </w:r>
      <w:r>
        <w:fldChar w:fldCharType="end"/>
      </w:r>
    </w:p>
  </w:footnote>
  <w:footnote w:id="3">
    <w:p w14:paraId="2B6BBDFF" w14:textId="77777777" w:rsidR="00603B79" w:rsidRDefault="00603B79" w:rsidP="001C2012">
      <w:pPr>
        <w:pStyle w:val="FootnoteText"/>
      </w:pPr>
      <w:r>
        <w:rPr>
          <w:rStyle w:val="FootnoteReference"/>
        </w:rPr>
        <w:footnoteRef/>
      </w:r>
      <w:r>
        <w:t xml:space="preserve"> </w:t>
      </w:r>
      <w:r>
        <w:fldChar w:fldCharType="begin"/>
      </w:r>
      <w:r>
        <w:instrText xml:space="preserve"> ADDIN ZOTERO_ITEM CSL_CITATION {"citationID":"JQuEsvh6","properties":{"formattedCitation":"{\\rtf US EPA, \\uc0\\u8220{}Environmental Benefits Mapping and Analysis Program \\uc0\\u8211{} Community Edition: User\\uc0\\u8217{}s Manual.\\uc0\\u8221{}}","plainCitation":"US EPA, “Environmental Benefits Mapping and Analysis Program – Community Edition: User’s Manual.”"},"citationItems":[{"id":2713,"uris":["http://zotero.org/groups/493296/items/PD5V2GRI"],"uri":["http://zotero.org/groups/493296/items/PD5V2GRI"],"itemData":{"type":"article","title":"Environmental Benefits Mapping and Analysis Program – Community Edition: User's Manual","author":[{"family":"US EPA","given":"","isInstitution":1}],"issued":{"raw":"April 2017"}}}],"schema":"https://github.com/citation-style-language/schema/raw/master/csl-citation.json"} </w:instrText>
      </w:r>
      <w:r>
        <w:fldChar w:fldCharType="separate"/>
      </w:r>
      <w:r w:rsidRPr="00103B8E">
        <w:rPr>
          <w:szCs w:val="24"/>
        </w:rPr>
        <w:t>US EPA, “Environmental Benefits Mapping and Analysis Program – Community Edition: User’s Manual.”</w:t>
      </w:r>
      <w:r>
        <w:fldChar w:fldCharType="end"/>
      </w:r>
    </w:p>
  </w:footnote>
  <w:footnote w:id="4">
    <w:p w14:paraId="5F64A5D8" w14:textId="77777777" w:rsidR="00603B79" w:rsidRDefault="00603B79" w:rsidP="001C2012">
      <w:pPr>
        <w:pStyle w:val="FootnoteText"/>
      </w:pPr>
      <w:r>
        <w:rPr>
          <w:rStyle w:val="FootnoteReference"/>
        </w:rPr>
        <w:footnoteRef/>
      </w:r>
      <w:r>
        <w:t xml:space="preserve"> </w:t>
      </w:r>
      <w:r>
        <w:fldChar w:fldCharType="begin"/>
      </w:r>
      <w:r>
        <w:instrText xml:space="preserve"> ADDIN ZOTERO_ITEM CSL_CITATION {"citationID":"639xhkm5","properties":{"formattedCitation":"{\\rtf Lin Zhang et al., \\uc0\\u8220{}Improved Estimate of the Policy-Relevant Background Ozone in the United States Using the GEOS-Chem Global Model with 1/2\\uc0\\u176{} \\uc0\\u215{} 2/3\\uc0\\u176{}\nHorizontal Resolution over North America\\uc0\\u8221{}; US EPA, {\\i{}Integrated Science Assessment for Ozone and Related Photochemical Oxidants}.}","plainCitation":"Lin Zhang et al., “Improved Estimate of the Policy-Relevant Background Ozone in the United States Using the GEOS-Chem Global Model with 1/2° × 2/3°Horizontal Resolution over North America”; US EPA, Integrated Science Assessment for Ozone and Related Photochemical Oxidants."},"citationItems":[{"id":558,"uris":["http://zotero.org/groups/493296/items/5JKVRB8G"],"uri":["http://zotero.org/groups/493296/items/5JKVRB8G"],"itemData":{"type":"article-journal","title":"Improved Estimate of the Policy-Relevant Background Ozone in the United States Using the GEOS-Chem Global Model with 1/2° × 2/3°\nHorizontal Resolution over North America","page":"6769–6776","volume":"45","issue":"37","journalAbbreviation":"Atmospheric Environment","author":[{"family":"Lin Zhang","given":"","isInstitution":1},{"family":"Daniel J. Jacob","given":"","isInstitution":1},{"family":"Nicole V. Downey","given":"","isInstitution":1},{"family":"Dana A. Wood","given":"","isInstitution":1},{"family":"Doug Blewitt","given":"","isInstitution":1},{"family":"Claire C. Carouge","given":"","isInstitution":1},{"family":"Aaron van Donkelaar","given":"","isInstitution":1},{"family":"Dylan B.A. Jones","given":"","isInstitution":1},{"family":"Lee T. Murray","given":"","isInstitution":1},{"family":"Yuxuan Wang","given":"","isInstitution":1}],"issued":{"raw":"December 2011"}}},{"id":2219,"uris":["http://zotero.org/groups/493296/items/DBMF7GJ9"],"uri":["http://zotero.org/groups/493296/items/DBMF7GJ9"],"itemData":{"type":"report","title":"Integrated Science Assessment for Ozone and Related Photochemical Oxidants","publisher-place":"Research Triangle Park, NC","authority":"Office of Research and Development","event-place":"Research Triangle Park, NC","archive-place":"Research Triangle Park, NC","number":"EPA 600/R-10/076F","author":[{"family":"US EPA","given":"","isInstitution":1}],"issued":{"raw":"February 2013"}}}],"schema":"https://github.com/citation-style-language/schema/raw/master/csl-citation.json"} </w:instrText>
      </w:r>
      <w:r>
        <w:fldChar w:fldCharType="separate"/>
      </w:r>
      <w:r w:rsidRPr="00CE4AED">
        <w:rPr>
          <w:szCs w:val="24"/>
        </w:rPr>
        <w:t xml:space="preserve">Lin Zhang et al., “Improved Estimate of the Policy-Relevant Background Ozone in the United States Using the GEOS-Chem Global Model with 1/2° × 2/3°Horizontal Resolution over North America”; US EPA, </w:t>
      </w:r>
      <w:r w:rsidRPr="00CE4AED">
        <w:rPr>
          <w:i/>
          <w:iCs/>
          <w:szCs w:val="24"/>
        </w:rPr>
        <w:t>Integrated Science Assessment for Ozone and Related Photochemical Oxidants</w:t>
      </w:r>
      <w:r w:rsidRPr="00CE4AED">
        <w:rPr>
          <w:szCs w:val="24"/>
        </w:rPr>
        <w:t>.</w:t>
      </w:r>
      <w:r>
        <w:fldChar w:fldCharType="end"/>
      </w:r>
    </w:p>
  </w:footnote>
  <w:footnote w:id="5">
    <w:p w14:paraId="333B30E0" w14:textId="77777777" w:rsidR="00603B79" w:rsidRDefault="00603B79" w:rsidP="001C2012">
      <w:pPr>
        <w:pStyle w:val="FootnoteText"/>
      </w:pPr>
      <w:r>
        <w:rPr>
          <w:rStyle w:val="FootnoteReference"/>
        </w:rPr>
        <w:footnoteRef/>
      </w:r>
      <w:r>
        <w:t xml:space="preserve"> </w:t>
      </w:r>
      <w:r>
        <w:fldChar w:fldCharType="begin"/>
      </w:r>
      <w:r>
        <w:instrText xml:space="preserve"> ADDIN ZOTERO_ITEM CSL_CITATION {"citationID":"B8X54Cnn","properties":{"formattedCitation":"{\\rtf Jerrett et al., \\uc0\\u8220{}Long-Term Ozone Exposure and Mortality.\\uc0\\u8221{}}","plainCitation":"Jerrett et al., “Long-Term Ozone Exposure and Mortality.”"},"citationItems":[{"id":836,"uris":["http://zotero.org/groups/493296/items/DZJENU3I"],"uri":["http://zotero.org/groups/493296/items/DZJENU3I"],"itemData":{"type":"article-journal","title":"Long-term ozone exposure and mortality","container-title":"New England Journal of Medicine","page":"1085–1095","volume":"360","issue":"11","source":"Google Scholar","URL":"http://www.nejm.org/doi/full/10.1056/nejmoa0803894","author":[{"family":"Jerrett","given":"Michael"},{"family":"Burnett","given":"Richard T."},{"family":"Pope III","given":"C. Arden"},{"family":"Ito","given":"Kazuhiko"},{"family":"Thurston","given":"George"},{"family":"Krewski","given":"Daniel"},{"family":"Shi","given":"Yuanli"},{"family":"Calle","given":"Eugenia"},{"family":"Thun","given":"Michael"}],"issued":{"raw":"2009"},"accessed":{"raw":"2016-10-24T19:52:19Z"}}}],"schema":"https://github.com/citation-style-language/schema/raw/master/csl-citation.json"} </w:instrText>
      </w:r>
      <w:r>
        <w:fldChar w:fldCharType="separate"/>
      </w:r>
      <w:r w:rsidRPr="0018201D">
        <w:rPr>
          <w:szCs w:val="24"/>
        </w:rPr>
        <w:t>Jerrett et al., “Long-Term Ozone Exposure and Mortality.”</w:t>
      </w:r>
      <w:r>
        <w:fldChar w:fldCharType="end"/>
      </w:r>
    </w:p>
  </w:footnote>
  <w:footnote w:id="6">
    <w:p w14:paraId="00CEE050" w14:textId="77777777" w:rsidR="00603B79" w:rsidRPr="00811565" w:rsidRDefault="00603B79" w:rsidP="001C2012">
      <w:pPr>
        <w:pStyle w:val="FootnoteText"/>
      </w:pPr>
      <w:r>
        <w:rPr>
          <w:rStyle w:val="FootnoteReference"/>
        </w:rPr>
        <w:footnoteRef/>
      </w:r>
      <w:r>
        <w:t xml:space="preserve"> </w:t>
      </w:r>
      <w:r w:rsidRPr="00811565">
        <w:fldChar w:fldCharType="begin"/>
      </w:r>
      <w:r>
        <w:instrText xml:space="preserve"> ADDIN ZOTERO_ITEM CSL_CITATION {"citationID":"Lug8qIvv","properties":{"formattedCitation":"{\\rtf Bell, Dominici, and Samet, \\uc0\\u8220{}A Meta-Analysis of Time-Series Studies of Ozone and Mortality With Comparison to the National Morbidity, Mortality, and Air Pollution Study.\\uc0\\u8221{}}","plainCitation":"Bell, Dominici, and Samet, “A Meta-Analysis of Time-Series Studies of Ozone and Mortality With Comparison to the National Morbidity, Mortality, and Air Pollution Study.”"},"citationItems":[{"id":2934,"uris":["http://zotero.org/groups/493296/items/WIJ9XDWP"],"uri":["http://zotero.org/groups/493296/items/WIJ9XDWP"],"itemData":{"type":"article-journal","title":"A Meta-Analysis of Time-Series Studies of Ozone and Mortality with Comparison to the National Morbidity, Mortality, and Air Pollution Study:","container-title":"Epidemiology","page":"436-445","volume":"16","issue":"4","source":"CrossRef","URL":"http://content.wkhealth.com/linkback/openurl?sid=WKPTLP:landingpage&amp;an=00001648-200507000-00004","DOI":"10.1097/01.ede.0000165817.40152.85","ISSN":"1044-3983","shortTitle":"A Meta-Analysis of Time-Series Studies of Ozone and Mortality With Comparison to the National Morbidity, Mortality, and Air Pollution Study","language":"en","author":[{"family":"Bell","given":"Michelle L."},{"family":"Dominici","given":"Francesca"},{"family":"Samet","given":"Jonathan M."}],"issued":{"raw":"July 2005"},"accessed":{"raw":"2017-07-10T16:57:50Z"}}}],"schema":"https://github.com/citation-style-language/schema/raw/master/csl-citation.json"} </w:instrText>
      </w:r>
      <w:r w:rsidRPr="00811565">
        <w:fldChar w:fldCharType="separate"/>
      </w:r>
      <w:r w:rsidRPr="00811565">
        <w:t xml:space="preserve">Bell, Dominici, and Samet, “A Meta-Analysis of Time-Series Studies of Ozone and Mortality </w:t>
      </w:r>
      <w:r>
        <w:t>w</w:t>
      </w:r>
      <w:r w:rsidRPr="00811565">
        <w:t>ith Comparison to the National Morbidity, Mortality, and Air Pollution Study.”</w:t>
      </w:r>
      <w:r w:rsidRPr="00811565">
        <w:fldChar w:fldCharType="end"/>
      </w:r>
    </w:p>
  </w:footnote>
  <w:footnote w:id="7">
    <w:p w14:paraId="1B8015DC" w14:textId="77777777" w:rsidR="00603B79" w:rsidRPr="00811565" w:rsidRDefault="00603B79" w:rsidP="001C2012">
      <w:pPr>
        <w:pStyle w:val="FootnoteText"/>
      </w:pPr>
      <w:r w:rsidRPr="00811565">
        <w:rPr>
          <w:rStyle w:val="FootnoteReference"/>
        </w:rPr>
        <w:footnoteRef/>
      </w:r>
      <w:r w:rsidRPr="00811565">
        <w:t xml:space="preserve"> </w:t>
      </w:r>
      <w:r w:rsidRPr="00811565">
        <w:fldChar w:fldCharType="begin"/>
      </w:r>
      <w:r>
        <w:instrText xml:space="preserve"> ADDIN ZOTERO_ITEM CSL_CITATION {"citationID":"FFRL6rBy","properties":{"formattedCitation":"{\\rtf Peel et al., \\uc0\\u8220{}Ambient Air Pollution and Respiratory Emergency Department Visits.\\uc0\\u8221{}}","plainCitation":"Peel et al., “Ambient Air Pollution and Respiratory Emergency Department Visits.”"},"citationItems":[{"id":2938,"uris":["http://zotero.org/groups/493296/items/QXIJZE5M"],"uri":["http://zotero.org/groups/493296/items/QXIJZE5M"],"itemData":{"type":"article-journal","title":"Ambient Air Pollution and Respiratory Emergency Department Visits:","container-title":"Epidemiology","page":"164-174","volume":"16","issue":"2","source":"CrossRef","URL":"http://content.wkhealth.com/linkback/openurl?sid=WKPTLP:landingpage&amp;an=00001648-200503000-00004","DOI":"10.1097/01.ede.0000152905.42113.db","ISSN":"1044-3983","shortTitle":"Ambient Air Pollution and Respiratory Emergency Department Visits","language":"en","author":[{"family":"Peel","given":"Jennifer L."},{"family":"Tolbert","given":"Paige E."},{"family":"Klein","given":"Mitchel"},{"family":"Metzger","given":"Kristi Busico"},{"family":"Flanders","given":"W Dana"},{"family":"Todd","given":"Knox"},{"family":"Mulholland","given":"James A."},{"family":"Ryan","given":"P Barry"},{"family":"Frumkin","given":"Howard"}],"issued":{"raw":"March 2005"},"accessed":{"raw":"2017-07-10T17:04:45Z"}}}],"schema":"https://github.com/citation-style-language/schema/raw/master/csl-citation.json"} </w:instrText>
      </w:r>
      <w:r w:rsidRPr="00811565">
        <w:fldChar w:fldCharType="separate"/>
      </w:r>
      <w:r w:rsidRPr="00811565">
        <w:rPr>
          <w:szCs w:val="24"/>
        </w:rPr>
        <w:t>Peel et al., “Ambient Air Pollution and Respiratory Emergency Department Visits.”</w:t>
      </w:r>
      <w:r w:rsidRPr="00811565">
        <w:fldChar w:fldCharType="end"/>
      </w:r>
    </w:p>
  </w:footnote>
  <w:footnote w:id="8">
    <w:p w14:paraId="1BD366A0" w14:textId="77777777" w:rsidR="00603B79" w:rsidRDefault="00603B79" w:rsidP="001C2012">
      <w:pPr>
        <w:pStyle w:val="FootnoteText"/>
      </w:pPr>
      <w:r w:rsidRPr="00811565">
        <w:rPr>
          <w:rStyle w:val="FootnoteReference"/>
        </w:rPr>
        <w:footnoteRef/>
      </w:r>
      <w:r w:rsidRPr="00811565">
        <w:t xml:space="preserve"> </w:t>
      </w:r>
      <w:r w:rsidRPr="00811565">
        <w:fldChar w:fldCharType="begin"/>
      </w:r>
      <w:r>
        <w:instrText xml:space="preserve"> ADDIN ZOTERO_ITEM CSL_CITATION {"citationID":"yTMDmvbq","properties":{"formattedCitation":"{\\rtf Wilson et al., \\uc0\\u8220{}Air Pollution, Weather, and Respiratory Emergency Room Visits in Two Northern New England Cities: An Ecological Time-Series Study\\uc0\\u8221{}; Peel et al., \\uc0\\u8220{}Ambient Air Pollution and Respiratory Emergency Department Visits.\\uc0\\u8221{}}","plainCitation":"Wilson et al., “Air Pollution, Weather, and Respiratory Emergency Room Visits in Two Northern New England Cities: An Ecological Time-Series Study”; Peel et al., “Ambient Air Pollution and Respiratory Emergency Department Visits.”"},"citationItems":[{"id":2936,"uris":["http://zotero.org/groups/493296/items/69FDHWPG"],"uri":["http://zotero.org/groups/493296/items/69FDHWPG"],"itemData":{"type":"article-journal","title":"Air pollution, weather, and respiratory emergency room visits in two northern New England cities: an ecological time-series study","container-title":"Environmental Research","page":"312-321","volume":"97","issue":"3","abstract":"Daily emergency room (ER) visits for all respiratory (ICD-9 460-519) and asthma (ICD-9 493) were compared with daily sulfur dioxide (SO2), ozone (O3), and weather variables over the period 1998–2000 in Portland, Maine (population 248,000), and 1996–2000 in Manchester, New Hampshire (population 176,000). Seasonal variability was removed from all variables using nonparametric smoothed function (LOESS) of day of study. Generalized additive models were used to estimate the effect of elevated levels of pollutants on ER visits. Relative risks of pollutants are reported over their interquartile range (IQR, the 75th –25th percentile pollutant values). In Portland, an IQR increase in SO2 was associated with a 5% (95% CI 2–7%) increase in all respiratory ER visits and a 6% (95% CI 1–12%) increase in asthma visits. An IQR increase in O3 was associated with a 5% (95% CI 1–10%) increase in Portland asthmatic ER visits. No significant associations were found in Manchester, New Hampshire, possibly due to statistical limitations of analyzing a smaller population. The absence of statistical evidence for a relationship should not be used as evidence of no relationship. This analysis reveals that, on a daily basis, elevated SO2 and O3 have a significant impact on public health in Portland, Maine.","URL":"http://www.sciencedirect.com/science/article/pii/S0013935104001409","DOI":"10.1016/j.envres.2004.07.010","ISSN":"0013-9351","journalAbbreviation":"Environmental Research","author":[{"family":"Wilson","given":"Adam M."},{"family":"Wake","given":"Cameron P."},{"family":"Kelly","given":"Tom"},{"family":"Salloway","given":"Jeffrey C."}],"issued":{"raw":"March 1, 2005"}}},{"id":2938,"uris":["http://zotero.org/groups/493296/items/QXIJZE5M"],"uri":["http://zotero.org/groups/493296/items/QXIJZE5M"],"itemData":{"type":"article-journal","title":"Ambient Air Pollution and Respiratory Emergency Department Visits:","container-title":"Epidemiology","page":"164-174","volume":"16","issue":"2","source":"CrossRef","URL":"http://content.wkhealth.com/linkback/openurl?sid=WKPTLP:landingpage&amp;an=00001648-200503000-00004","DOI":"10.1097/01.ede.0000152905.42113.db","ISSN":"1044-3983","shortTitle":"Ambient Air Pollution and Respiratory Emergency Department Visits","language":"en","author":[{"family":"Peel","given":"Jennifer L."},{"family":"Tolbert","given":"Paige E."},{"family":"Klein","given":"Mitchel"},{"family":"Metzger","given":"Kristi Busico"},{"family":"Flanders","given":"W Dana"},{"family":"Todd","given":"Knox"},{"family":"Mulholland","given":"James A."},{"family":"Ryan","given":"P Barry"},{"family":"Frumkin","given":"Howard"}],"issued":{"raw":"March 2005"},"accessed":{"raw":"2017-07-10T17:04:45Z"}}}],"schema":"https://github.com/citation-style-language/schema/raw/master/csl-citation.json"} </w:instrText>
      </w:r>
      <w:r w:rsidRPr="00811565">
        <w:fldChar w:fldCharType="separate"/>
      </w:r>
      <w:r w:rsidRPr="00811565">
        <w:rPr>
          <w:szCs w:val="24"/>
        </w:rPr>
        <w:t>Wilson et al., “Air Pollution, Weather, and Respiratory Emergency Room Visits in Two Northern New England Cities: An Ecological Time-Series Study”; Peel et al., “Ambient Air Pollution and Respiratory Emergency Department Visits.”</w:t>
      </w:r>
      <w:r w:rsidRPr="00811565">
        <w:fldChar w:fldCharType="end"/>
      </w:r>
    </w:p>
  </w:footnote>
  <w:footnote w:id="9">
    <w:p w14:paraId="1814D4F7" w14:textId="77777777" w:rsidR="00603B79" w:rsidRDefault="00603B79" w:rsidP="001C2012">
      <w:pPr>
        <w:pStyle w:val="FootnoteText"/>
      </w:pPr>
      <w:r>
        <w:rPr>
          <w:rStyle w:val="FootnoteReference"/>
        </w:rPr>
        <w:footnoteRef/>
      </w:r>
      <w:r>
        <w:t xml:space="preserve"> </w:t>
      </w:r>
      <w:r>
        <w:fldChar w:fldCharType="begin"/>
      </w:r>
      <w:r>
        <w:instrText xml:space="preserve"> ADDIN ZOTERO_ITEM CSL_CITATION {"citationID":"jaXgHQPr","properties":{"formattedCitation":"{\\rtf Moolgavkar, Luebeck, and Anderson, \\uc0\\u8220{}Air Pollution and Hospital Admissions for Respiratory Causes in Minneapolis-St. Paul and Birmingham\\uc0\\u8221{}; Schwartz, \\uc0\\u8220{}PM10 Ozone, and Hospital Admissions for the Elderly in Minneapolis-St. Paul, Minnesota\\uc0\\u8221{}; Schwartz, \\uc0\\u8220{}Air Pollution and Hospital Admissions for the Elderly in Detroit, Michigan.\\uc0\\u8221{}}","plainCitation":"Moolgavkar, Luebeck, and Anderson, “Air Pollution and Hospital Admissions for Respiratory Causes in Minneapolis-St. Paul and Birmingham”; Schwartz, “PM10 Ozone, and Hospital Admissions for the Elderly in Minneapolis-St. Paul, Minnesota”; Schwartz, “Air Pollution and Hospital Admissions for the Elderly in Detroit, Michigan.”"},"citationItems":[{"id":2948,"uris":["http://zotero.org/groups/493296/items/8JJTRCQ8"],"uri":["http://zotero.org/groups/493296/items/8JJTRCQ8"],"itemData":{"type":"article-journal","title":"Air Pollution and Hospital Admissions for Respiratory Causes in Minneapolis-St. Paul and Birmingham","container-title":"Epidemiology","page":"364-370","volume":"8","issue":"4","abstract":"We investigated the association between air pollution and hospital admissions for chronic obstructive pulmonary disease and pneumonia among the elderly in Minneapolis-St. Paul, MN, and Birmingham, AL, over the period January 1, 1986, to December 31, 1991. Pollutants included in our analyses were PM10 (particulate matter less than 10 &amp;#x3bc;m in aerodynamic diameter), ${\\rm SO}_{2},{\\rm NO}_{2},{\\rm O}_{3}$, and CO in Minneapolis-St. Paul, and ${\\rm PM}_{10},{\\rm O}_{3}$, and CO in Birmingham. After adjusting for temperature, day of week, season, and temporal trends, we found little evidence of association between air pollution and hospital admissions for respiratory causes in Birmingham. In contrast, we found that air pollution was associated with hospital admissions for respiratory causes in Minneapolis-St. Paul. Among the individual pollutants, O3 was most strongly associated with admissions (estimated increase in hospital admissions associated with a 15-parts-per-billion increase in O3 on the previous day = 5.15%; 95% confidence interval = 2.36-7.94%), and this association was robust in the sense that it was little affected by the simultaneous consideration of other pollutants. ${\\rm PM}_{10},{\\rm SO}_{2}$, and NO2 were also associated with hospital admissions, although none could be singled out as being more important than the others.","URL":"http://www.jstor.org/stable/3702575","ISSN":"10443983","author":[{"family":"Moolgavkar","given":"Suresh H."},{"family":"Luebeck","given":"E. Georg"},{"family":"Anderson","given":"Elizabeth L."}],"issued":{"raw":"1997"}}},{"id":2951,"uris":["http://zotero.org/groups/493296/items/WQXC65J8"],"uri":["http://zotero.org/groups/493296/items/WQXC65J8"],"itemData":{"type":"article-journal","title":"PM10 Ozone, and Hospital Admissions for the Elderly in Minneapolis-St. Paul, Minnesota","container-title":"Archives of Environmental Health: An International Journal","page":"366-374","volume":"49","issue":"5","abstract":"Abstract Several recent studies have reported associations between airborne particles and/or ozone and hospital admissions for respiratory disease. PM10 has rarely been used as the particle exposure measure, however. This study examined whether such an association could be seen in Minneapolis-St. Paul, Minnesota, which has daily monitoring data for PM10. Data on hospital admissions in persons aged 65 y and older were obtained from Medicare records for the years 1986 through 1989. Daily counts of admissions, by admit date, were computed for pneumonia (ICD9 480?487) and chronic obstructive pulmonary disease (COPD) (ICD9 490?496). Classification was by discharge diagnosis. Daily air pollution data from all monitoring stations for ozone and PM10 in Minneapolis-St. Paul were obtained, and the daily average for each pollutant was computed. An average of approximately six pneumonia admissions and two admissions for chronic obstructive pulmonary disease occurred each day. Poisson regression analysis was used to control for time trends, seasonal fluctuations, and weather. PM10 was a risk factor for pneumonia admissions (relative risk [RR] = 1.17, 95% confidence interval [CI] = 1.33?1.02) and COPD admissions (RR = 1.57, 95% CI = 2.06?1.20). Ozone was also associated with pneumonia admissions (RR = 1.15, 95% CI = 1.36?0.97). The relative risks are for an increase of 100 ?g/m3 in daily PM10 and 50 ppb in daily ozone concentration. Several alternative methods for controlling for seasonal patterns and weather were used, including nonparametric regression techniques. The results were not sensitive to the methods. When days exceeding the National Ambient Air Quality Standard for either pollutant were excluded, the association remained for both pneumonia (RR = 1.18, 95% CI = 1.34?1.03 for PM10, and RR = 1.18, 95% CI = 1.41?0.99 for ozone) and COPD (RR = 1.54, 95% CI = 2.06?1.16 for PM10).","URL":"http://dx.doi.org/10.1080/00039896.1994.9954989","DOI":"10.1080/00039896.1994.9954989","ISSN":"0003-9896","journalAbbreviation":"Archives of Environmental Health: An International Journal","author":[{"family":"Schwartz","given":"Joel"}],"issued":{"raw":"October 1, 1994"}}},{"id":2954,"uris":["http://zotero.org/groups/493296/items/E5XFWXV8"],"uri":["http://zotero.org/groups/493296/items/E5XFWXV8"],"itemData":{"type":"article-journal","title":"Air pollution and hospital admissions for the elderly in Detroit, Michigan.","container-title":"American Journal of Respiratory and Critical Care Medicine","page":"648-655","volume":"150","issue":"3","source":"CrossRef","URL":"http://www.atsjournals.org/doi/abs/10.1164/ajrccm.150.3.8087333","DOI":"10.1164/ajrccm.150.3.8087333","ISSN":"1073-449X, 1535-4970","language":"en","author":[{"family":"Schwartz","given":"J"}],"issued":{"raw":"September 1994"},"accessed":{"raw":"2017-07-10T17:36:42Z"}}}],"schema":"https://github.com/citation-style-language/schema/raw/master/csl-citation.json"} </w:instrText>
      </w:r>
      <w:r>
        <w:fldChar w:fldCharType="separate"/>
      </w:r>
      <w:r w:rsidRPr="00402022">
        <w:rPr>
          <w:rFonts w:ascii="Calibri" w:hAnsi="Calibri"/>
          <w:szCs w:val="24"/>
        </w:rPr>
        <w:t>Moolgavkar, Luebeck, and Anderson, “Air Pollution and Hospital Admissions for Respiratory Causes in Minneapolis-St. Paul and Birmingham”; Schwartz, “PM10 Ozone, and Hospital Admissions for the Elderly in Minneapolis-St. Paul, Minnesota”; Schwartz, “Air Pollution and Hospital Admissions for the Elderly in Detroit, Michigan.”</w:t>
      </w:r>
      <w:r>
        <w:fldChar w:fldCharType="end"/>
      </w:r>
    </w:p>
  </w:footnote>
  <w:footnote w:id="10">
    <w:p w14:paraId="723AD8D6" w14:textId="77777777" w:rsidR="00603B79" w:rsidRDefault="00603B79" w:rsidP="001C2012">
      <w:pPr>
        <w:pStyle w:val="FootnoteText"/>
      </w:pPr>
      <w:r>
        <w:rPr>
          <w:rStyle w:val="FootnoteReference"/>
        </w:rPr>
        <w:footnoteRef/>
      </w:r>
      <w:r>
        <w:t xml:space="preserve"> </w:t>
      </w:r>
      <w:r>
        <w:fldChar w:fldCharType="begin"/>
      </w:r>
      <w:r>
        <w:instrText xml:space="preserve"> ADDIN ZOTERO_ITEM CSL_CITATION {"citationID":"qtLCDre4","properties":{"formattedCitation":"{\\rtf Schwartz, \\uc0\\u8220{}PM10 Ozone, and Hospital Admissions for the Elderly in Minneapolis-St. Paul, Minnesota.\\uc0\\u8221{}}","plainCitation":"Schwartz, “PM10 Ozone, and Hospital Admissions for the Elderly in Minneapolis-St. Paul, Minnesota.”"},"citationItems":[{"id":2951,"uris":["http://zotero.org/groups/493296/items/WQXC65J8"],"uri":["http://zotero.org/groups/493296/items/WQXC65J8"],"itemData":{"type":"article-journal","title":"PM10 Ozone, and Hospital Admissions for the Elderly in Minneapolis-St. Paul, Minnesota","container-title":"Archives of Environmental Health: An International Journal","page":"366-374","volume":"49","issue":"5","abstract":"Abstract Several recent studies have reported associations between airborne particles and/or ozone and hospital admissions for respiratory disease. PM10 has rarely been used as the particle exposure measure, however. This study examined whether such an association could be seen in Minneapolis-St. Paul, Minnesota, which has daily monitoring data for PM10. Data on hospital admissions in persons aged 65 y and older were obtained from Medicare records for the years 1986 through 1989. Daily counts of admissions, by admit date, were computed for pneumonia (ICD9 480?487) and chronic obstructive pulmonary disease (COPD) (ICD9 490?496). Classification was by discharge diagnosis. Daily air pollution data from all monitoring stations for ozone and PM10 in Minneapolis-St. Paul were obtained, and the daily average for each pollutant was computed. An average of approximately six pneumonia admissions and two admissions for chronic obstructive pulmonary disease occurred each day. Poisson regression analysis was used to control for time trends, seasonal fluctuations, and weather. PM10 was a risk factor for pneumonia admissions (relative risk [RR] = 1.17, 95% confidence interval [CI] = 1.33?1.02) and COPD admissions (RR = 1.57, 95% CI = 2.06?1.20). Ozone was also associated with pneumonia admissions (RR = 1.15, 95% CI = 1.36?0.97). The relative risks are for an increase of 100 ?g/m3 in daily PM10 and 50 ppb in daily ozone concentration. Several alternative methods for controlling for seasonal patterns and weather were used, including nonparametric regression techniques. The results were not sensitive to the methods. When days exceeding the National Ambient Air Quality Standard for either pollutant were excluded, the association remained for both pneumonia (RR = 1.18, 95% CI = 1.34?1.03 for PM10, and RR = 1.18, 95% CI = 1.41?0.99 for ozone) and COPD (RR = 1.54, 95% CI = 2.06?1.16 for PM10).","URL":"http://dx.doi.org/10.1080/00039896.1994.9954989","DOI":"10.1080/00039896.1994.9954989","ISSN":"0003-9896","journalAbbreviation":"Archives of Environmental Health: An International Journal","author":[{"family":"Schwartz","given":"Joel"}],"issued":{"raw":"October 1, 1994"}}}],"schema":"https://github.com/citation-style-language/schema/raw/master/csl-citation.json"} </w:instrText>
      </w:r>
      <w:r>
        <w:fldChar w:fldCharType="separate"/>
      </w:r>
      <w:r w:rsidRPr="00402022">
        <w:rPr>
          <w:rFonts w:ascii="Calibri" w:hAnsi="Calibri"/>
          <w:szCs w:val="24"/>
        </w:rPr>
        <w:t>Schwartz, “PM10 Ozone, and Hospital Admissions for the Elderly in Minneapolis-St. Paul, Minnesota.”</w:t>
      </w:r>
      <w:r>
        <w:fldChar w:fldCharType="end"/>
      </w:r>
    </w:p>
  </w:footnote>
  <w:footnote w:id="11">
    <w:p w14:paraId="569D8EC7" w14:textId="77777777" w:rsidR="00603B79" w:rsidRDefault="00603B79" w:rsidP="001C2012">
      <w:pPr>
        <w:pStyle w:val="FootnoteText"/>
      </w:pPr>
      <w:r>
        <w:rPr>
          <w:rStyle w:val="FootnoteReference"/>
        </w:rPr>
        <w:footnoteRef/>
      </w:r>
      <w:r>
        <w:t xml:space="preserve"> </w:t>
      </w:r>
      <w:r>
        <w:fldChar w:fldCharType="begin"/>
      </w:r>
      <w:r>
        <w:instrText xml:space="preserve"> ADDIN ZOTERO_ITEM CSL_CITATION {"citationID":"Kk5NPC5h","properties":{"formattedCitation":"{\\rtf Schwartz, \\uc0\\u8220{}Air Pollution and Hospital Admissions for the Elderly in Detroit, Michigan.\\uc0\\u8221{}}","plainCitation":"Schwartz, “Air Pollution and Hospital Admissions for the Elderly in Detroit, Michigan.”"},"citationItems":[{"id":2954,"uris":["http://zotero.org/groups/493296/items/E5XFWXV8"],"uri":["http://zotero.org/groups/493296/items/E5XFWXV8"],"itemData":{"type":"article-journal","title":"Air pollution and hospital admissions for the elderly in Detroit, Michigan.","container-title":"American Journal of Respiratory and Critical Care Medicine","page":"648-655","volume":"150","issue":"3","source":"CrossRef","URL":"http://www.atsjournals.org/doi/abs/10.1164/ajrccm.150.3.8087333","DOI":"10.1164/ajrccm.150.3.8087333","ISSN":"1073-449X, 1535-4970","language":"en","author":[{"family":"Schwartz","given":"J"}],"issued":{"raw":"September 1994"},"accessed":{"raw":"2017-07-10T17:36:42Z"}}}],"schema":"https://github.com/citation-style-language/schema/raw/master/csl-citation.json"} </w:instrText>
      </w:r>
      <w:r>
        <w:fldChar w:fldCharType="separate"/>
      </w:r>
      <w:r w:rsidRPr="00402022">
        <w:rPr>
          <w:rFonts w:ascii="Calibri" w:hAnsi="Calibri"/>
          <w:szCs w:val="24"/>
        </w:rPr>
        <w:t>Schwartz, “Air Pollution and Hospital Admissions for the Elderly in Detroit, Michigan.”</w:t>
      </w:r>
      <w:r>
        <w:fldChar w:fldCharType="end"/>
      </w:r>
    </w:p>
  </w:footnote>
  <w:footnote w:id="12">
    <w:p w14:paraId="757B4247" w14:textId="77777777" w:rsidR="00603B79" w:rsidRDefault="00603B79" w:rsidP="001C2012">
      <w:pPr>
        <w:pStyle w:val="FootnoteText"/>
      </w:pPr>
      <w:r>
        <w:rPr>
          <w:rStyle w:val="FootnoteReference"/>
        </w:rPr>
        <w:footnoteRef/>
      </w:r>
      <w:r>
        <w:t xml:space="preserve"> </w:t>
      </w:r>
      <w:r>
        <w:fldChar w:fldCharType="begin"/>
      </w:r>
      <w:r>
        <w:instrText xml:space="preserve"> ADDIN ZOTERO_ITEM CSL_CITATION {"citationID":"zirlquIL","properties":{"formattedCitation":"{\\rtf Schwartz, \\uc0\\u8220{}Short Term Fluctuations in Air Pollution and Hospital Admissions of the Elderly for Respiratory Disease.\\uc0\\u8221{}}","plainCitation":"Schwartz, “Short Term Fluctuations in Air Pollution and Hospital Admissions of the Elderly for Respiratory Disease.”"},"citationItems":[{"id":2958,"uris":["http://zotero.org/groups/493296/items/MFEEW2SV"],"uri":["http://zotero.org/groups/493296/items/MFEEW2SV"],"itemData":{"type":"article-journal","title":"Short term fluctuations in air pollution and hospital admissions of the elderly for respiratory disease.","container-title":"Thorax","page":"531–538","volume":"50","issue":"5","source":"Google Scholar","URL":"http://thorax.bmj.com/content/50/5/531.short","author":[{"family":"Schwartz","given":"Joel"}],"issued":{"raw":"1995"},"accessed":{"raw":"2017-07-10T17:45:16Z"}}}],"schema":"https://github.com/citation-style-language/schema/raw/master/csl-citation.json"} </w:instrText>
      </w:r>
      <w:r>
        <w:fldChar w:fldCharType="separate"/>
      </w:r>
      <w:r w:rsidRPr="002B1D44">
        <w:rPr>
          <w:rFonts w:ascii="Calibri" w:hAnsi="Calibri"/>
          <w:szCs w:val="24"/>
        </w:rPr>
        <w:t>Schwartz, “Short Term Fluctuations in Air Pollution and Hospital Admissions of the Elderly for Respiratory Disease.”</w:t>
      </w:r>
      <w:r>
        <w:fldChar w:fldCharType="end"/>
      </w:r>
    </w:p>
  </w:footnote>
  <w:footnote w:id="13">
    <w:p w14:paraId="14AAA3C5" w14:textId="77777777" w:rsidR="00603B79" w:rsidRDefault="00603B79" w:rsidP="001C2012">
      <w:pPr>
        <w:pStyle w:val="FootnoteText"/>
      </w:pPr>
      <w:r>
        <w:rPr>
          <w:rStyle w:val="FootnoteReference"/>
        </w:rPr>
        <w:footnoteRef/>
      </w:r>
      <w:r>
        <w:t xml:space="preserve"> </w:t>
      </w:r>
      <w:r>
        <w:fldChar w:fldCharType="begin"/>
      </w:r>
      <w:r>
        <w:instrText xml:space="preserve"> ADDIN ZOTERO_ITEM CSL_CITATION {"citationID":"1vA9pQmo","properties":{"formattedCitation":"{\\rtf Burnett et al., \\uc0\\u8220{}Association between Ozone and Hospitalization for Acute Respiratory Diseases in Children Less than 2 Years of Age.\\uc0\\u8221{}}","plainCitation":"Burnett et al., “Association between Ozone and Hospitalization for Acute Respiratory Diseases in Children Less than 2 Years of Age.”"},"citationItems":[{"id":2960,"uris":["http://zotero.org/groups/493296/items/KAITKW8N"],"uri":["http://zotero.org/groups/493296/items/KAITKW8N"],"itemData":{"type":"article-journal","title":"Association between ozone and hospitalization for acute respiratory diseases in children less than 2 years of age","container-title":"American journal of epidemiology","page":"444–452","volume":"153","issue":"5","source":"Google Scholar","URL":"https://academic.oup.com/aje/article-abstract/153/5/444/149769","author":[{"family":"Burnett","given":"Richard T."},{"family":"Smith-Doiron","given":"Marc"},{"family":"Stieb","given":"Dave"},{"family":"Raizenne","given":"Mark E."},{"family":"Brook","given":"Jeffrey R."},{"family":"Dales","given":"Robert E."},{"family":"Leech","given":"Judy A."},{"family":"Cakmak","given":"Sabit"},{"family":"Krewski","given":"Daniel"}],"issued":{"raw":"2001"},"accessed":{"raw":"2017-07-10T17:45:52Z"}}}],"schema":"https://github.com/citation-style-language/schema/raw/master/csl-citation.json"} </w:instrText>
      </w:r>
      <w:r>
        <w:fldChar w:fldCharType="separate"/>
      </w:r>
      <w:r w:rsidRPr="002B1D44">
        <w:rPr>
          <w:rFonts w:ascii="Calibri" w:hAnsi="Calibri"/>
          <w:szCs w:val="24"/>
        </w:rPr>
        <w:t>Burnett et al., “Association between Ozone and Hospitalization for Acute Respiratory Diseases in Children Less than 2 Years of Age.”</w:t>
      </w:r>
      <w:r>
        <w:fldChar w:fldCharType="end"/>
      </w:r>
    </w:p>
  </w:footnote>
  <w:footnote w:id="14">
    <w:p w14:paraId="71596759" w14:textId="77777777" w:rsidR="00603B79" w:rsidRDefault="00603B79" w:rsidP="001C2012">
      <w:pPr>
        <w:pStyle w:val="FootnoteText"/>
      </w:pPr>
      <w:r>
        <w:rPr>
          <w:rStyle w:val="FootnoteReference"/>
        </w:rPr>
        <w:footnoteRef/>
      </w:r>
      <w:r>
        <w:t xml:space="preserve"> </w:t>
      </w:r>
      <w:r>
        <w:fldChar w:fldCharType="begin"/>
      </w:r>
      <w:r>
        <w:instrText xml:space="preserve"> ADDIN ZOTERO_ITEM CSL_CITATION {"citationID":"zz1FN1qm","properties":{"formattedCitation":"{\\rtf Ostro and Rothschild, \\uc0\\u8220{}Air Pollution and Acute Respiratory Morbidity: An Observational Study of Multiple Pollutants.\\uc0\\u8221{}}","plainCitation":"Ostro and Rothschild, “Air Pollution and Acute Respiratory Morbidity: An Observational Study of Multiple Pollutants.”"},"citationItems":[{"id":2956,"uris":["http://zotero.org/groups/493296/items/W4MQWZ8V"],"uri":["http://zotero.org/groups/493296/items/W4MQWZ8V"],"itemData":{"type":"article-journal","title":"Air pollution and acute respiratory morbidity: An observational study of multiple pollutants","container-title":"Environmental Research","page":"238-247","volume":"50","issue":"2","abstract":"Recently there have been several attempts to estimate the health and economic effects of one or more airborne pollutants using the Health Interview Survey (HIS), a large cross-sectional database collected by the National Center for Health Statistics. The ultimate implications of these studies are unclear, however, since they frequently include different pollutants and health outcomes in the regression analysis. This paper attempts to determine the separate health consequences of two air pollutants common to the urban environment, ozone and particulate matter, using six separate years of the HIS. The results, using a fixed effects model that controls for intercity differences, indicate an association between smaller size particles (fine particulate) and both minor restrictions in activity and respiratory conditions severe enough to result in work loss and bed disability in adults. Ozone, on the other hand, appears to be associated only with the more minor restrictions. However, the measurement error associated with estimating exposure to ozone may limit the usefulness of the HIS which relies on a 2-week recall of health status. The results are compared with other studies using the HIS and related studies involving acute respiratory symptoms.","URL":"http://www.sciencedirect.com/science/article/pii/S0013935189800040","DOI":"10.1016/S0013-9351(89)80004-0","ISSN":"0013-9351","journalAbbreviation":"Environmental Research","author":[{"family":"Ostro","given":"Bart D."},{"family":"Rothschild","given":"Susy"}],"issued":{"raw":"December 1, 1989"}}}],"schema":"https://github.com/citation-style-language/schema/raw/master/csl-citation.json"} </w:instrText>
      </w:r>
      <w:r>
        <w:fldChar w:fldCharType="separate"/>
      </w:r>
      <w:r w:rsidRPr="00402022">
        <w:rPr>
          <w:rFonts w:ascii="Calibri" w:hAnsi="Calibri"/>
          <w:szCs w:val="24"/>
        </w:rPr>
        <w:t>Ostro and Rothschild, “Air Pollution and Acute Respiratory Morbidity: An Observational Study of Multiple Pollutants.”</w:t>
      </w:r>
      <w:r>
        <w:fldChar w:fldCharType="end"/>
      </w:r>
    </w:p>
  </w:footnote>
  <w:footnote w:id="15">
    <w:p w14:paraId="0DDEB6AC" w14:textId="77777777" w:rsidR="00603B79" w:rsidRDefault="00603B79" w:rsidP="001C2012">
      <w:pPr>
        <w:pStyle w:val="FootnoteText"/>
      </w:pPr>
      <w:r>
        <w:rPr>
          <w:rStyle w:val="FootnoteReference"/>
        </w:rPr>
        <w:footnoteRef/>
      </w:r>
      <w:r>
        <w:t xml:space="preserve"> </w:t>
      </w:r>
      <w:r>
        <w:fldChar w:fldCharType="begin"/>
      </w:r>
      <w:r>
        <w:instrText xml:space="preserve"> ADDIN ZOTERO_ITEM CSL_CITATION {"citationID":"Zvo4Wpdj","properties":{"formattedCitation":"{\\rtf Chen et al., \\uc0\\u8220{}Elementary School Absenteeism and Air Pollution.\\uc0\\u8221{}}","plainCitation":"Chen et al., “Elementary School Absenteeism and Air Pollution.”"},"citationItems":[{"id":2943,"uris":["http://zotero.org/groups/493296/items/FVZIG7KV"],"uri":["http://zotero.org/groups/493296/items/FVZIG7KV"],"itemData":{"type":"article-journal","title":"Elementary School Absenteeism and Air Pollution","container-title":"Inhalation Toxicology","page":"997-1016","volume":"12","issue":"11","URL":"http://dx.doi.org/10.1080/08958370050164626","DOI":"10.1080/08958370050164626","ISSN":"0895-8378","journalAbbreviation":"Inhalation Toxicology","author":[{"family":"Chen","given":"Lei"},{"family":"Jennison","given":"Brian L."},{"family":"Yang","given":"Wei"},{"family":"Omaye","given":"Stanley T."}],"issued":{"raw":"January 1, 2000"}}}],"schema":"https://github.com/citation-style-language/schema/raw/master/csl-citation.json"} </w:instrText>
      </w:r>
      <w:r>
        <w:fldChar w:fldCharType="separate"/>
      </w:r>
      <w:r w:rsidRPr="00D342CE">
        <w:rPr>
          <w:rFonts w:ascii="Calibri" w:hAnsi="Calibri"/>
          <w:szCs w:val="24"/>
        </w:rPr>
        <w:t>Chen et al., “Elementary School Absenteeism and Air Pollution.”</w:t>
      </w:r>
      <w:r>
        <w:fldChar w:fldCharType="end"/>
      </w:r>
    </w:p>
  </w:footnote>
  <w:footnote w:id="16">
    <w:p w14:paraId="3412A958" w14:textId="77777777" w:rsidR="00603B79" w:rsidRDefault="00603B79" w:rsidP="001C2012">
      <w:pPr>
        <w:pStyle w:val="FootnoteText"/>
      </w:pPr>
      <w:r>
        <w:rPr>
          <w:rStyle w:val="FootnoteReference"/>
        </w:rPr>
        <w:footnoteRef/>
      </w:r>
      <w:r>
        <w:t xml:space="preserve"> </w:t>
      </w:r>
      <w:r>
        <w:fldChar w:fldCharType="begin"/>
      </w:r>
      <w:r>
        <w:instrText xml:space="preserve"> ADDIN ZOTERO_ITEM CSL_CITATION {"citationID":"TFyIho8a","properties":{"formattedCitation":"{\\rtf Gilliland et al., \\uc0\\u8220{}The Effects of Ambient Air Pollution on School Absenteeism due to Respiratory Illnesses.\\uc0\\u8221{}}","plainCitation":"Gilliland et al., “The Effects of Ambient Air Pollution on School Absenteeism due to Respiratory Illnesses.”"},"citationItems":[{"id":2940,"uris":["http://zotero.org/groups/493296/items/PMD6PUK7"],"uri":["http://zotero.org/groups/493296/items/PMD6PUK7"],"itemData":{"type":"article-journal","title":"The effects of ambient air pollution on school absenteeism due to respiratory illnesses","container-title":"Epidemiology","page":"43–54","volume":"12","issue":"1","source":"Google Scholar","URL":"http://journals.lww.com/epidem/Abstract/2001/01000/The_Effects_of_Ambient_Air_Pollution_on_School.9.aspx","author":[{"family":"Gilliland","given":"Frank D."},{"family":"Berhane","given":"Kiros"},{"family":"Rappaport","given":"Edward B."},{"family":"Thomas","given":"Duncan C."},{"family":"Avol","given":"Edward"},{"family":"Gauderman","given":"W. James"},{"family":"London","given":"Stephanie J."},{"family":"Margolis","given":"Helene G."},{"family":"McConnell","given":"Rob"},{"family":"Islam","given":"K. Talat"},{"family":"others","given":"","isInstitution":1}],"issued":{"raw":"2001"},"accessed":{"raw":"2017-07-10T17:07:57Z"}}}],"schema":"https://github.com/citation-style-language/schema/raw/master/csl-citation.json"} </w:instrText>
      </w:r>
      <w:r>
        <w:fldChar w:fldCharType="separate"/>
      </w:r>
      <w:r w:rsidRPr="00811565">
        <w:rPr>
          <w:rFonts w:ascii="Calibri" w:hAnsi="Calibri"/>
          <w:szCs w:val="24"/>
        </w:rPr>
        <w:t>Gilliland et al., “The Effects of Ambient Air Pollution on School Absenteeism due to Respiratory Illnesses.”</w:t>
      </w:r>
      <w: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B496D" w14:textId="77777777" w:rsidR="00603B79" w:rsidRDefault="00603B79" w:rsidP="001C2012">
    <w:pPr>
      <w:pStyle w:val="Header"/>
    </w:pPr>
    <w:r>
      <w:t>DRAFT – Do Not Cite Or Quote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126"/>
    <w:rsid w:val="0000785A"/>
    <w:rsid w:val="00043975"/>
    <w:rsid w:val="0005573F"/>
    <w:rsid w:val="000750FE"/>
    <w:rsid w:val="000A367D"/>
    <w:rsid w:val="000B7017"/>
    <w:rsid w:val="000D796B"/>
    <w:rsid w:val="000F0225"/>
    <w:rsid w:val="00103B8E"/>
    <w:rsid w:val="0010521A"/>
    <w:rsid w:val="001100B3"/>
    <w:rsid w:val="00110D3D"/>
    <w:rsid w:val="00161AD6"/>
    <w:rsid w:val="00166871"/>
    <w:rsid w:val="0018201D"/>
    <w:rsid w:val="001A4C28"/>
    <w:rsid w:val="001A4C39"/>
    <w:rsid w:val="001B23C9"/>
    <w:rsid w:val="001C2012"/>
    <w:rsid w:val="001C2174"/>
    <w:rsid w:val="002424C1"/>
    <w:rsid w:val="00291836"/>
    <w:rsid w:val="00293785"/>
    <w:rsid w:val="00294FDD"/>
    <w:rsid w:val="002B1D44"/>
    <w:rsid w:val="002F72B2"/>
    <w:rsid w:val="0032582F"/>
    <w:rsid w:val="00332A34"/>
    <w:rsid w:val="00346E4D"/>
    <w:rsid w:val="0039686C"/>
    <w:rsid w:val="003C2CAD"/>
    <w:rsid w:val="003E285D"/>
    <w:rsid w:val="003E5E5F"/>
    <w:rsid w:val="00402022"/>
    <w:rsid w:val="00464510"/>
    <w:rsid w:val="00466D00"/>
    <w:rsid w:val="00476B35"/>
    <w:rsid w:val="00485953"/>
    <w:rsid w:val="00495F9E"/>
    <w:rsid w:val="004E7E1E"/>
    <w:rsid w:val="00500D16"/>
    <w:rsid w:val="00502772"/>
    <w:rsid w:val="00503A4B"/>
    <w:rsid w:val="00507550"/>
    <w:rsid w:val="005525A9"/>
    <w:rsid w:val="005574C0"/>
    <w:rsid w:val="005C3A33"/>
    <w:rsid w:val="005D21A8"/>
    <w:rsid w:val="005F7AE7"/>
    <w:rsid w:val="00603B79"/>
    <w:rsid w:val="0061612B"/>
    <w:rsid w:val="0061632F"/>
    <w:rsid w:val="00653354"/>
    <w:rsid w:val="0068591D"/>
    <w:rsid w:val="006B0C65"/>
    <w:rsid w:val="006C02F0"/>
    <w:rsid w:val="006C39E6"/>
    <w:rsid w:val="006F1055"/>
    <w:rsid w:val="00706070"/>
    <w:rsid w:val="00706997"/>
    <w:rsid w:val="00710D48"/>
    <w:rsid w:val="00741738"/>
    <w:rsid w:val="00744AB4"/>
    <w:rsid w:val="007B5511"/>
    <w:rsid w:val="007E37C1"/>
    <w:rsid w:val="007F4632"/>
    <w:rsid w:val="00800072"/>
    <w:rsid w:val="00811565"/>
    <w:rsid w:val="00830828"/>
    <w:rsid w:val="008611DE"/>
    <w:rsid w:val="00873B6C"/>
    <w:rsid w:val="00875A29"/>
    <w:rsid w:val="00880057"/>
    <w:rsid w:val="00890759"/>
    <w:rsid w:val="00891126"/>
    <w:rsid w:val="008B1A52"/>
    <w:rsid w:val="008B21EF"/>
    <w:rsid w:val="008B537E"/>
    <w:rsid w:val="008C7420"/>
    <w:rsid w:val="008D65FC"/>
    <w:rsid w:val="008E38D9"/>
    <w:rsid w:val="008E6BFD"/>
    <w:rsid w:val="00905D12"/>
    <w:rsid w:val="00907499"/>
    <w:rsid w:val="00913B87"/>
    <w:rsid w:val="00925859"/>
    <w:rsid w:val="00933A1C"/>
    <w:rsid w:val="0097041F"/>
    <w:rsid w:val="00984786"/>
    <w:rsid w:val="009937EC"/>
    <w:rsid w:val="00A13991"/>
    <w:rsid w:val="00A34DA9"/>
    <w:rsid w:val="00A635F2"/>
    <w:rsid w:val="00AC4B5A"/>
    <w:rsid w:val="00B0003F"/>
    <w:rsid w:val="00B97812"/>
    <w:rsid w:val="00BB34CB"/>
    <w:rsid w:val="00BC2F37"/>
    <w:rsid w:val="00BD311C"/>
    <w:rsid w:val="00C20ED5"/>
    <w:rsid w:val="00C327E5"/>
    <w:rsid w:val="00C4017E"/>
    <w:rsid w:val="00C70071"/>
    <w:rsid w:val="00CA49B5"/>
    <w:rsid w:val="00CB46DA"/>
    <w:rsid w:val="00CC1254"/>
    <w:rsid w:val="00CE304A"/>
    <w:rsid w:val="00CE4AED"/>
    <w:rsid w:val="00D0460C"/>
    <w:rsid w:val="00D121E2"/>
    <w:rsid w:val="00D342CE"/>
    <w:rsid w:val="00D87FE8"/>
    <w:rsid w:val="00D95BF3"/>
    <w:rsid w:val="00DB1BA7"/>
    <w:rsid w:val="00DC11D6"/>
    <w:rsid w:val="00E066CA"/>
    <w:rsid w:val="00E26F5A"/>
    <w:rsid w:val="00E445FF"/>
    <w:rsid w:val="00E559D6"/>
    <w:rsid w:val="00E56286"/>
    <w:rsid w:val="00EB7CB2"/>
    <w:rsid w:val="00F03074"/>
    <w:rsid w:val="00F34AA4"/>
    <w:rsid w:val="00F45E28"/>
    <w:rsid w:val="00F5584A"/>
    <w:rsid w:val="00F5798E"/>
    <w:rsid w:val="00F61407"/>
    <w:rsid w:val="00F7368F"/>
    <w:rsid w:val="00F74385"/>
    <w:rsid w:val="00F749A1"/>
    <w:rsid w:val="00FE71DA"/>
    <w:rsid w:val="00FF2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44631"/>
  <w15:docId w15:val="{3E8874EE-83B9-439A-B548-C100A0FE5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0057"/>
    <w:pPr>
      <w:spacing w:after="260" w:line="260" w:lineRule="atLeast"/>
    </w:pPr>
    <w:rPr>
      <w:rFonts w:asciiTheme="minorHAnsi" w:hAnsiTheme="minorHAnsi"/>
      <w:sz w:val="22"/>
      <w:szCs w:val="24"/>
    </w:rPr>
  </w:style>
  <w:style w:type="paragraph" w:styleId="Heading1">
    <w:name w:val="heading 1"/>
    <w:basedOn w:val="Normal"/>
    <w:next w:val="Normal"/>
    <w:link w:val="Heading1Char"/>
    <w:uiPriority w:val="9"/>
    <w:qFormat/>
    <w:rsid w:val="00F64589"/>
    <w:pPr>
      <w:keepNext/>
      <w:keepLines/>
      <w:spacing w:before="480"/>
      <w:outlineLvl w:val="0"/>
    </w:pPr>
    <w:rPr>
      <w:rFonts w:ascii="Cambria" w:eastAsia="Times New Roman" w:hAnsi="Cambria"/>
      <w:b/>
      <w:bCs/>
      <w:sz w:val="28"/>
      <w:szCs w:val="28"/>
      <w:lang w:bidi="en-US"/>
    </w:rPr>
  </w:style>
  <w:style w:type="paragraph" w:styleId="Heading2">
    <w:name w:val="heading 2"/>
    <w:basedOn w:val="NoSpacing"/>
    <w:next w:val="Normal"/>
    <w:link w:val="Heading2Char"/>
    <w:uiPriority w:val="9"/>
    <w:unhideWhenUsed/>
    <w:qFormat/>
    <w:rsid w:val="001C2012"/>
    <w:pPr>
      <w:outlineLvl w:val="1"/>
    </w:pPr>
    <w:rPr>
      <w:rFonts w:asciiTheme="minorHAnsi" w:hAnsiTheme="minorHAns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rsid w:val="00891126"/>
    <w:rPr>
      <w:rFonts w:ascii="Times New Roman" w:hAnsi="Times New Roman"/>
      <w:sz w:val="24"/>
      <w:szCs w:val="24"/>
    </w:rPr>
  </w:style>
  <w:style w:type="character" w:customStyle="1" w:styleId="NoSpacingChar">
    <w:name w:val="No Spacing Char"/>
    <w:link w:val="NoSpacing"/>
    <w:rsid w:val="00891126"/>
    <w:rPr>
      <w:rFonts w:ascii="Times New Roman" w:hAnsi="Times New Roman"/>
      <w:sz w:val="24"/>
      <w:szCs w:val="24"/>
      <w:lang w:val="en-US" w:eastAsia="en-US" w:bidi="ar-SA"/>
    </w:rPr>
  </w:style>
  <w:style w:type="paragraph" w:styleId="Header">
    <w:name w:val="header"/>
    <w:basedOn w:val="Normal"/>
    <w:link w:val="HeaderChar"/>
    <w:uiPriority w:val="99"/>
    <w:unhideWhenUsed/>
    <w:rsid w:val="00BA173D"/>
    <w:pPr>
      <w:tabs>
        <w:tab w:val="center" w:pos="4680"/>
        <w:tab w:val="right" w:pos="9360"/>
      </w:tabs>
    </w:pPr>
  </w:style>
  <w:style w:type="character" w:customStyle="1" w:styleId="HeaderChar">
    <w:name w:val="Header Char"/>
    <w:link w:val="Header"/>
    <w:uiPriority w:val="99"/>
    <w:rsid w:val="00BA173D"/>
    <w:rPr>
      <w:sz w:val="22"/>
      <w:szCs w:val="22"/>
    </w:rPr>
  </w:style>
  <w:style w:type="paragraph" w:styleId="Footer">
    <w:name w:val="footer"/>
    <w:basedOn w:val="Normal"/>
    <w:link w:val="FooterChar"/>
    <w:uiPriority w:val="99"/>
    <w:unhideWhenUsed/>
    <w:rsid w:val="00BA173D"/>
    <w:pPr>
      <w:tabs>
        <w:tab w:val="center" w:pos="4680"/>
        <w:tab w:val="right" w:pos="9360"/>
      </w:tabs>
    </w:pPr>
  </w:style>
  <w:style w:type="character" w:customStyle="1" w:styleId="FooterChar">
    <w:name w:val="Footer Char"/>
    <w:link w:val="Footer"/>
    <w:uiPriority w:val="99"/>
    <w:rsid w:val="00BA173D"/>
    <w:rPr>
      <w:sz w:val="22"/>
      <w:szCs w:val="22"/>
    </w:rPr>
  </w:style>
  <w:style w:type="paragraph" w:styleId="BalloonText">
    <w:name w:val="Balloon Text"/>
    <w:basedOn w:val="Normal"/>
    <w:link w:val="BalloonTextChar"/>
    <w:uiPriority w:val="99"/>
    <w:semiHidden/>
    <w:unhideWhenUsed/>
    <w:rsid w:val="00BA173D"/>
    <w:rPr>
      <w:rFonts w:ascii="Tahoma" w:hAnsi="Tahoma" w:cs="Tahoma"/>
      <w:sz w:val="16"/>
      <w:szCs w:val="16"/>
    </w:rPr>
  </w:style>
  <w:style w:type="character" w:customStyle="1" w:styleId="BalloonTextChar">
    <w:name w:val="Balloon Text Char"/>
    <w:link w:val="BalloonText"/>
    <w:uiPriority w:val="99"/>
    <w:semiHidden/>
    <w:rsid w:val="00BA173D"/>
    <w:rPr>
      <w:rFonts w:ascii="Tahoma" w:hAnsi="Tahoma" w:cs="Tahoma"/>
      <w:sz w:val="16"/>
      <w:szCs w:val="16"/>
    </w:rPr>
  </w:style>
  <w:style w:type="character" w:styleId="CommentReference">
    <w:name w:val="annotation reference"/>
    <w:uiPriority w:val="99"/>
    <w:semiHidden/>
    <w:unhideWhenUsed/>
    <w:rsid w:val="001E4406"/>
    <w:rPr>
      <w:sz w:val="16"/>
      <w:szCs w:val="16"/>
    </w:rPr>
  </w:style>
  <w:style w:type="paragraph" w:styleId="CommentText">
    <w:name w:val="annotation text"/>
    <w:basedOn w:val="Normal"/>
    <w:link w:val="CommentTextChar"/>
    <w:uiPriority w:val="99"/>
    <w:semiHidden/>
    <w:unhideWhenUsed/>
    <w:rsid w:val="001E4406"/>
    <w:rPr>
      <w:sz w:val="20"/>
      <w:szCs w:val="20"/>
    </w:rPr>
  </w:style>
  <w:style w:type="character" w:customStyle="1" w:styleId="CommentTextChar">
    <w:name w:val="Comment Text Char"/>
    <w:basedOn w:val="DefaultParagraphFont"/>
    <w:link w:val="CommentText"/>
    <w:uiPriority w:val="99"/>
    <w:semiHidden/>
    <w:rsid w:val="001E4406"/>
  </w:style>
  <w:style w:type="paragraph" w:styleId="CommentSubject">
    <w:name w:val="annotation subject"/>
    <w:basedOn w:val="CommentText"/>
    <w:next w:val="CommentText"/>
    <w:link w:val="CommentSubjectChar"/>
    <w:uiPriority w:val="99"/>
    <w:semiHidden/>
    <w:unhideWhenUsed/>
    <w:rsid w:val="001E4406"/>
    <w:rPr>
      <w:b/>
      <w:bCs/>
    </w:rPr>
  </w:style>
  <w:style w:type="character" w:customStyle="1" w:styleId="CommentSubjectChar">
    <w:name w:val="Comment Subject Char"/>
    <w:link w:val="CommentSubject"/>
    <w:uiPriority w:val="99"/>
    <w:semiHidden/>
    <w:rsid w:val="001E4406"/>
    <w:rPr>
      <w:b/>
      <w:bCs/>
    </w:rPr>
  </w:style>
  <w:style w:type="paragraph" w:styleId="Caption">
    <w:name w:val="caption"/>
    <w:basedOn w:val="Normal"/>
    <w:next w:val="Normal"/>
    <w:uiPriority w:val="35"/>
    <w:qFormat/>
    <w:rsid w:val="001C2012"/>
    <w:pPr>
      <w:keepNext/>
      <w:spacing w:after="0"/>
    </w:pPr>
    <w:rPr>
      <w:b/>
      <w:bCs/>
      <w:sz w:val="18"/>
      <w:szCs w:val="18"/>
    </w:rPr>
  </w:style>
  <w:style w:type="character" w:customStyle="1" w:styleId="Heading1Char">
    <w:name w:val="Heading 1 Char"/>
    <w:link w:val="Heading1"/>
    <w:uiPriority w:val="9"/>
    <w:rsid w:val="00F64589"/>
    <w:rPr>
      <w:rFonts w:ascii="Cambria" w:eastAsia="Times New Roman" w:hAnsi="Cambria"/>
      <w:b/>
      <w:bCs/>
      <w:sz w:val="28"/>
      <w:szCs w:val="28"/>
      <w:lang w:bidi="en-US"/>
    </w:rPr>
  </w:style>
  <w:style w:type="paragraph" w:styleId="Bibliography">
    <w:name w:val="Bibliography"/>
    <w:basedOn w:val="Normal"/>
    <w:next w:val="Normal"/>
    <w:uiPriority w:val="37"/>
    <w:unhideWhenUsed/>
    <w:rsid w:val="007654A3"/>
    <w:pPr>
      <w:spacing w:after="0"/>
      <w:ind w:left="720" w:hanging="720"/>
    </w:pPr>
  </w:style>
  <w:style w:type="paragraph" w:styleId="Title">
    <w:name w:val="Title"/>
    <w:basedOn w:val="Normal"/>
    <w:next w:val="Normal"/>
    <w:link w:val="TitleChar"/>
    <w:uiPriority w:val="10"/>
    <w:qFormat/>
    <w:rsid w:val="00477D25"/>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477D25"/>
    <w:rPr>
      <w:rFonts w:ascii="Cambria" w:eastAsia="Times New Roman" w:hAnsi="Cambria" w:cs="Times New Roman"/>
      <w:b/>
      <w:bCs/>
      <w:kern w:val="28"/>
      <w:sz w:val="32"/>
      <w:szCs w:val="32"/>
    </w:rPr>
  </w:style>
  <w:style w:type="paragraph" w:styleId="Subtitle">
    <w:name w:val="Subtitle"/>
    <w:basedOn w:val="Normal"/>
    <w:next w:val="Normal"/>
    <w:link w:val="SubtitleChar"/>
    <w:uiPriority w:val="11"/>
    <w:qFormat/>
    <w:rsid w:val="00741738"/>
    <w:pPr>
      <w:spacing w:after="60"/>
      <w:outlineLvl w:val="1"/>
    </w:pPr>
    <w:rPr>
      <w:rFonts w:ascii="Cambria" w:hAnsi="Cambria"/>
    </w:rPr>
  </w:style>
  <w:style w:type="character" w:customStyle="1" w:styleId="SubtitleChar">
    <w:name w:val="Subtitle Char"/>
    <w:link w:val="Subtitle"/>
    <w:uiPriority w:val="11"/>
    <w:rsid w:val="00741738"/>
    <w:rPr>
      <w:rFonts w:ascii="Cambria" w:hAnsi="Cambria"/>
      <w:sz w:val="22"/>
      <w:szCs w:val="24"/>
    </w:rPr>
  </w:style>
  <w:style w:type="paragraph" w:customStyle="1" w:styleId="NoSpacing1">
    <w:name w:val="No Spacing1"/>
    <w:qFormat/>
    <w:rsid w:val="001C2012"/>
    <w:rPr>
      <w:rFonts w:asciiTheme="minorHAnsi" w:hAnsiTheme="minorHAnsi"/>
      <w:bCs/>
      <w:sz w:val="24"/>
      <w:szCs w:val="24"/>
    </w:rPr>
  </w:style>
  <w:style w:type="paragraph" w:styleId="FootnoteText">
    <w:name w:val="footnote text"/>
    <w:basedOn w:val="Normal"/>
    <w:link w:val="FootnoteTextChar"/>
    <w:uiPriority w:val="99"/>
    <w:unhideWhenUsed/>
    <w:rsid w:val="00880057"/>
    <w:pPr>
      <w:spacing w:after="0" w:line="240" w:lineRule="auto"/>
    </w:pPr>
    <w:rPr>
      <w:sz w:val="18"/>
      <w:szCs w:val="20"/>
    </w:rPr>
  </w:style>
  <w:style w:type="character" w:customStyle="1" w:styleId="FootnoteTextChar">
    <w:name w:val="Footnote Text Char"/>
    <w:link w:val="FootnoteText"/>
    <w:uiPriority w:val="99"/>
    <w:rsid w:val="00880057"/>
    <w:rPr>
      <w:rFonts w:asciiTheme="minorHAnsi" w:hAnsiTheme="minorHAnsi"/>
      <w:sz w:val="18"/>
    </w:rPr>
  </w:style>
  <w:style w:type="character" w:styleId="FootnoteReference">
    <w:name w:val="footnote reference"/>
    <w:uiPriority w:val="99"/>
    <w:semiHidden/>
    <w:unhideWhenUsed/>
    <w:rsid w:val="00710D48"/>
    <w:rPr>
      <w:vertAlign w:val="superscript"/>
    </w:rPr>
  </w:style>
  <w:style w:type="character" w:customStyle="1" w:styleId="Heading2Char">
    <w:name w:val="Heading 2 Char"/>
    <w:link w:val="Heading2"/>
    <w:uiPriority w:val="9"/>
    <w:rsid w:val="001C2012"/>
    <w:rPr>
      <w:rFonts w:asciiTheme="minorHAnsi" w:hAnsiTheme="minorHAnsi"/>
      <w:i/>
      <w:sz w:val="24"/>
      <w:szCs w:val="24"/>
    </w:rPr>
  </w:style>
  <w:style w:type="table" w:styleId="TableGrid">
    <w:name w:val="Table Grid"/>
    <w:basedOn w:val="TableNormal"/>
    <w:uiPriority w:val="59"/>
    <w:rsid w:val="00F34A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F34AA4"/>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F34AA4"/>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FE71DA"/>
    <w:rPr>
      <w:rFonts w:asciiTheme="minorHAnsi" w:hAnsi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410392">
      <w:bodyDiv w:val="1"/>
      <w:marLeft w:val="0"/>
      <w:marRight w:val="0"/>
      <w:marTop w:val="0"/>
      <w:marBottom w:val="0"/>
      <w:divBdr>
        <w:top w:val="none" w:sz="0" w:space="0" w:color="auto"/>
        <w:left w:val="none" w:sz="0" w:space="0" w:color="auto"/>
        <w:bottom w:val="none" w:sz="0" w:space="0" w:color="auto"/>
        <w:right w:val="none" w:sz="0" w:space="0" w:color="auto"/>
      </w:divBdr>
    </w:div>
    <w:div w:id="567496084">
      <w:bodyDiv w:val="1"/>
      <w:marLeft w:val="0"/>
      <w:marRight w:val="0"/>
      <w:marTop w:val="0"/>
      <w:marBottom w:val="0"/>
      <w:divBdr>
        <w:top w:val="none" w:sz="0" w:space="0" w:color="auto"/>
        <w:left w:val="none" w:sz="0" w:space="0" w:color="auto"/>
        <w:bottom w:val="none" w:sz="0" w:space="0" w:color="auto"/>
        <w:right w:val="none" w:sz="0" w:space="0" w:color="auto"/>
      </w:divBdr>
      <w:divsChild>
        <w:div w:id="656806287">
          <w:marLeft w:val="0"/>
          <w:marRight w:val="0"/>
          <w:marTop w:val="0"/>
          <w:marBottom w:val="0"/>
          <w:divBdr>
            <w:top w:val="none" w:sz="0" w:space="0" w:color="auto"/>
            <w:left w:val="none" w:sz="0" w:space="0" w:color="auto"/>
            <w:bottom w:val="none" w:sz="0" w:space="0" w:color="auto"/>
            <w:right w:val="none" w:sz="0" w:space="0" w:color="auto"/>
          </w:divBdr>
          <w:divsChild>
            <w:div w:id="1880051839">
              <w:marLeft w:val="0"/>
              <w:marRight w:val="0"/>
              <w:marTop w:val="0"/>
              <w:marBottom w:val="0"/>
              <w:divBdr>
                <w:top w:val="none" w:sz="0" w:space="0" w:color="auto"/>
                <w:left w:val="none" w:sz="0" w:space="0" w:color="auto"/>
                <w:bottom w:val="none" w:sz="0" w:space="0" w:color="auto"/>
                <w:right w:val="none" w:sz="0" w:space="0" w:color="auto"/>
              </w:divBdr>
              <w:divsChild>
                <w:div w:id="1202934392">
                  <w:marLeft w:val="0"/>
                  <w:marRight w:val="0"/>
                  <w:marTop w:val="0"/>
                  <w:marBottom w:val="0"/>
                  <w:divBdr>
                    <w:top w:val="none" w:sz="0" w:space="0" w:color="auto"/>
                    <w:left w:val="none" w:sz="0" w:space="0" w:color="auto"/>
                    <w:bottom w:val="none" w:sz="0" w:space="0" w:color="auto"/>
                    <w:right w:val="none" w:sz="0" w:space="0" w:color="auto"/>
                  </w:divBdr>
                  <w:divsChild>
                    <w:div w:id="1656299968">
                      <w:marLeft w:val="0"/>
                      <w:marRight w:val="0"/>
                      <w:marTop w:val="0"/>
                      <w:marBottom w:val="0"/>
                      <w:divBdr>
                        <w:top w:val="none" w:sz="0" w:space="0" w:color="auto"/>
                        <w:left w:val="none" w:sz="0" w:space="0" w:color="auto"/>
                        <w:bottom w:val="none" w:sz="0" w:space="0" w:color="auto"/>
                        <w:right w:val="none" w:sz="0" w:space="0" w:color="auto"/>
                      </w:divBdr>
                      <w:divsChild>
                        <w:div w:id="1980649493">
                          <w:marLeft w:val="0"/>
                          <w:marRight w:val="0"/>
                          <w:marTop w:val="0"/>
                          <w:marBottom w:val="0"/>
                          <w:divBdr>
                            <w:top w:val="none" w:sz="0" w:space="0" w:color="auto"/>
                            <w:left w:val="none" w:sz="0" w:space="0" w:color="auto"/>
                            <w:bottom w:val="none" w:sz="0" w:space="0" w:color="auto"/>
                            <w:right w:val="none" w:sz="0" w:space="0" w:color="auto"/>
                          </w:divBdr>
                          <w:divsChild>
                            <w:div w:id="2088843681">
                              <w:marLeft w:val="0"/>
                              <w:marRight w:val="0"/>
                              <w:marTop w:val="0"/>
                              <w:marBottom w:val="0"/>
                              <w:divBdr>
                                <w:top w:val="none" w:sz="0" w:space="0" w:color="auto"/>
                                <w:left w:val="none" w:sz="0" w:space="0" w:color="auto"/>
                                <w:bottom w:val="none" w:sz="0" w:space="0" w:color="auto"/>
                                <w:right w:val="none" w:sz="0" w:space="0" w:color="auto"/>
                              </w:divBdr>
                              <w:divsChild>
                                <w:div w:id="545996707">
                                  <w:marLeft w:val="0"/>
                                  <w:marRight w:val="0"/>
                                  <w:marTop w:val="0"/>
                                  <w:marBottom w:val="0"/>
                                  <w:divBdr>
                                    <w:top w:val="none" w:sz="0" w:space="0" w:color="auto"/>
                                    <w:left w:val="none" w:sz="0" w:space="0" w:color="auto"/>
                                    <w:bottom w:val="none" w:sz="0" w:space="0" w:color="auto"/>
                                    <w:right w:val="none" w:sz="0" w:space="0" w:color="auto"/>
                                  </w:divBdr>
                                  <w:divsChild>
                                    <w:div w:id="1425498727">
                                      <w:marLeft w:val="0"/>
                                      <w:marRight w:val="0"/>
                                      <w:marTop w:val="0"/>
                                      <w:marBottom w:val="0"/>
                                      <w:divBdr>
                                        <w:top w:val="none" w:sz="0" w:space="0" w:color="auto"/>
                                        <w:left w:val="none" w:sz="0" w:space="0" w:color="auto"/>
                                        <w:bottom w:val="none" w:sz="0" w:space="0" w:color="auto"/>
                                        <w:right w:val="none" w:sz="0" w:space="0" w:color="auto"/>
                                      </w:divBdr>
                                      <w:divsChild>
                                        <w:div w:id="1220744973">
                                          <w:marLeft w:val="0"/>
                                          <w:marRight w:val="0"/>
                                          <w:marTop w:val="0"/>
                                          <w:marBottom w:val="0"/>
                                          <w:divBdr>
                                            <w:top w:val="none" w:sz="0" w:space="0" w:color="auto"/>
                                            <w:left w:val="none" w:sz="0" w:space="0" w:color="auto"/>
                                            <w:bottom w:val="none" w:sz="0" w:space="0" w:color="auto"/>
                                            <w:right w:val="none" w:sz="0" w:space="0" w:color="auto"/>
                                          </w:divBdr>
                                          <w:divsChild>
                                            <w:div w:id="411658269">
                                              <w:marLeft w:val="0"/>
                                              <w:marRight w:val="0"/>
                                              <w:marTop w:val="0"/>
                                              <w:marBottom w:val="0"/>
                                              <w:divBdr>
                                                <w:top w:val="none" w:sz="0" w:space="0" w:color="auto"/>
                                                <w:left w:val="none" w:sz="0" w:space="0" w:color="auto"/>
                                                <w:bottom w:val="none" w:sz="0" w:space="0" w:color="auto"/>
                                                <w:right w:val="none" w:sz="0" w:space="0" w:color="auto"/>
                                              </w:divBdr>
                                              <w:divsChild>
                                                <w:div w:id="1635329904">
                                                  <w:marLeft w:val="0"/>
                                                  <w:marRight w:val="0"/>
                                                  <w:marTop w:val="0"/>
                                                  <w:marBottom w:val="0"/>
                                                  <w:divBdr>
                                                    <w:top w:val="none" w:sz="0" w:space="0" w:color="auto"/>
                                                    <w:left w:val="none" w:sz="0" w:space="0" w:color="auto"/>
                                                    <w:bottom w:val="none" w:sz="0" w:space="0" w:color="auto"/>
                                                    <w:right w:val="none" w:sz="0" w:space="0" w:color="auto"/>
                                                  </w:divBdr>
                                                  <w:divsChild>
                                                    <w:div w:id="1223176555">
                                                      <w:marLeft w:val="0"/>
                                                      <w:marRight w:val="0"/>
                                                      <w:marTop w:val="0"/>
                                                      <w:marBottom w:val="0"/>
                                                      <w:divBdr>
                                                        <w:top w:val="none" w:sz="0" w:space="0" w:color="auto"/>
                                                        <w:left w:val="none" w:sz="0" w:space="0" w:color="auto"/>
                                                        <w:bottom w:val="none" w:sz="0" w:space="0" w:color="auto"/>
                                                        <w:right w:val="none" w:sz="0" w:space="0" w:color="auto"/>
                                                      </w:divBdr>
                                                      <w:divsChild>
                                                        <w:div w:id="63375586">
                                                          <w:marLeft w:val="0"/>
                                                          <w:marRight w:val="0"/>
                                                          <w:marTop w:val="0"/>
                                                          <w:marBottom w:val="0"/>
                                                          <w:divBdr>
                                                            <w:top w:val="none" w:sz="0" w:space="0" w:color="auto"/>
                                                            <w:left w:val="none" w:sz="0" w:space="0" w:color="auto"/>
                                                            <w:bottom w:val="none" w:sz="0" w:space="0" w:color="auto"/>
                                                            <w:right w:val="none" w:sz="0" w:space="0" w:color="auto"/>
                                                          </w:divBdr>
                                                          <w:divsChild>
                                                            <w:div w:id="32598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6623599">
      <w:bodyDiv w:val="1"/>
      <w:marLeft w:val="0"/>
      <w:marRight w:val="0"/>
      <w:marTop w:val="0"/>
      <w:marBottom w:val="0"/>
      <w:divBdr>
        <w:top w:val="none" w:sz="0" w:space="0" w:color="auto"/>
        <w:left w:val="none" w:sz="0" w:space="0" w:color="auto"/>
        <w:bottom w:val="none" w:sz="0" w:space="0" w:color="auto"/>
        <w:right w:val="none" w:sz="0" w:space="0" w:color="auto"/>
      </w:divBdr>
    </w:div>
    <w:div w:id="732579394">
      <w:bodyDiv w:val="1"/>
      <w:marLeft w:val="0"/>
      <w:marRight w:val="0"/>
      <w:marTop w:val="0"/>
      <w:marBottom w:val="0"/>
      <w:divBdr>
        <w:top w:val="none" w:sz="0" w:space="0" w:color="auto"/>
        <w:left w:val="none" w:sz="0" w:space="0" w:color="auto"/>
        <w:bottom w:val="none" w:sz="0" w:space="0" w:color="auto"/>
        <w:right w:val="none" w:sz="0" w:space="0" w:color="auto"/>
      </w:divBdr>
    </w:div>
    <w:div w:id="1014066210">
      <w:bodyDiv w:val="1"/>
      <w:marLeft w:val="0"/>
      <w:marRight w:val="0"/>
      <w:marTop w:val="0"/>
      <w:marBottom w:val="0"/>
      <w:divBdr>
        <w:top w:val="none" w:sz="0" w:space="0" w:color="auto"/>
        <w:left w:val="none" w:sz="0" w:space="0" w:color="auto"/>
        <w:bottom w:val="none" w:sz="0" w:space="0" w:color="auto"/>
        <w:right w:val="none" w:sz="0" w:space="0" w:color="auto"/>
      </w:divBdr>
    </w:div>
    <w:div w:id="1325164928">
      <w:bodyDiv w:val="1"/>
      <w:marLeft w:val="0"/>
      <w:marRight w:val="0"/>
      <w:marTop w:val="0"/>
      <w:marBottom w:val="0"/>
      <w:divBdr>
        <w:top w:val="none" w:sz="0" w:space="0" w:color="auto"/>
        <w:left w:val="none" w:sz="0" w:space="0" w:color="auto"/>
        <w:bottom w:val="none" w:sz="0" w:space="0" w:color="auto"/>
        <w:right w:val="none" w:sz="0" w:space="0" w:color="auto"/>
      </w:divBdr>
    </w:div>
    <w:div w:id="1424572649">
      <w:bodyDiv w:val="1"/>
      <w:marLeft w:val="0"/>
      <w:marRight w:val="0"/>
      <w:marTop w:val="0"/>
      <w:marBottom w:val="0"/>
      <w:divBdr>
        <w:top w:val="none" w:sz="0" w:space="0" w:color="auto"/>
        <w:left w:val="none" w:sz="0" w:space="0" w:color="auto"/>
        <w:bottom w:val="none" w:sz="0" w:space="0" w:color="auto"/>
        <w:right w:val="none" w:sz="0" w:space="0" w:color="auto"/>
      </w:divBdr>
    </w:div>
    <w:div w:id="1672097774">
      <w:bodyDiv w:val="1"/>
      <w:marLeft w:val="0"/>
      <w:marRight w:val="0"/>
      <w:marTop w:val="0"/>
      <w:marBottom w:val="0"/>
      <w:divBdr>
        <w:top w:val="none" w:sz="0" w:space="0" w:color="auto"/>
        <w:left w:val="none" w:sz="0" w:space="0" w:color="auto"/>
        <w:bottom w:val="none" w:sz="0" w:space="0" w:color="auto"/>
        <w:right w:val="none" w:sz="0" w:space="0" w:color="auto"/>
      </w:divBdr>
      <w:divsChild>
        <w:div w:id="429738043">
          <w:marLeft w:val="0"/>
          <w:marRight w:val="0"/>
          <w:marTop w:val="0"/>
          <w:marBottom w:val="0"/>
          <w:divBdr>
            <w:top w:val="none" w:sz="0" w:space="0" w:color="auto"/>
            <w:left w:val="none" w:sz="0" w:space="0" w:color="auto"/>
            <w:bottom w:val="none" w:sz="0" w:space="0" w:color="auto"/>
            <w:right w:val="none" w:sz="0" w:space="0" w:color="auto"/>
          </w:divBdr>
        </w:div>
        <w:div w:id="806093450">
          <w:marLeft w:val="0"/>
          <w:marRight w:val="0"/>
          <w:marTop w:val="0"/>
          <w:marBottom w:val="0"/>
          <w:divBdr>
            <w:top w:val="none" w:sz="0" w:space="0" w:color="auto"/>
            <w:left w:val="none" w:sz="0" w:space="0" w:color="auto"/>
            <w:bottom w:val="none" w:sz="0" w:space="0" w:color="auto"/>
            <w:right w:val="none" w:sz="0" w:space="0" w:color="auto"/>
          </w:divBdr>
        </w:div>
        <w:div w:id="1405565183">
          <w:marLeft w:val="0"/>
          <w:marRight w:val="0"/>
          <w:marTop w:val="0"/>
          <w:marBottom w:val="0"/>
          <w:divBdr>
            <w:top w:val="none" w:sz="0" w:space="0" w:color="auto"/>
            <w:left w:val="none" w:sz="0" w:space="0" w:color="auto"/>
            <w:bottom w:val="none" w:sz="0" w:space="0" w:color="auto"/>
            <w:right w:val="none" w:sz="0" w:space="0" w:color="auto"/>
          </w:divBdr>
        </w:div>
        <w:div w:id="1919822886">
          <w:marLeft w:val="0"/>
          <w:marRight w:val="0"/>
          <w:marTop w:val="0"/>
          <w:marBottom w:val="0"/>
          <w:divBdr>
            <w:top w:val="none" w:sz="0" w:space="0" w:color="auto"/>
            <w:left w:val="none" w:sz="0" w:space="0" w:color="auto"/>
            <w:bottom w:val="none" w:sz="0" w:space="0" w:color="auto"/>
            <w:right w:val="none" w:sz="0" w:space="0" w:color="auto"/>
          </w:divBdr>
          <w:divsChild>
            <w:div w:id="944729459">
              <w:marLeft w:val="0"/>
              <w:marRight w:val="0"/>
              <w:marTop w:val="0"/>
              <w:marBottom w:val="0"/>
              <w:divBdr>
                <w:top w:val="none" w:sz="0" w:space="0" w:color="auto"/>
                <w:left w:val="none" w:sz="0" w:space="0" w:color="auto"/>
                <w:bottom w:val="none" w:sz="0" w:space="0" w:color="auto"/>
                <w:right w:val="none" w:sz="0" w:space="0" w:color="auto"/>
              </w:divBdr>
            </w:div>
            <w:div w:id="1099183280">
              <w:marLeft w:val="0"/>
              <w:marRight w:val="0"/>
              <w:marTop w:val="0"/>
              <w:marBottom w:val="0"/>
              <w:divBdr>
                <w:top w:val="none" w:sz="0" w:space="0" w:color="auto"/>
                <w:left w:val="none" w:sz="0" w:space="0" w:color="auto"/>
                <w:bottom w:val="none" w:sz="0" w:space="0" w:color="auto"/>
                <w:right w:val="none" w:sz="0" w:space="0" w:color="auto"/>
              </w:divBdr>
            </w:div>
            <w:div w:id="156074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044132">
      <w:bodyDiv w:val="1"/>
      <w:marLeft w:val="0"/>
      <w:marRight w:val="0"/>
      <w:marTop w:val="0"/>
      <w:marBottom w:val="0"/>
      <w:divBdr>
        <w:top w:val="none" w:sz="0" w:space="0" w:color="auto"/>
        <w:left w:val="none" w:sz="0" w:space="0" w:color="auto"/>
        <w:bottom w:val="none" w:sz="0" w:space="0" w:color="auto"/>
        <w:right w:val="none" w:sz="0" w:space="0" w:color="auto"/>
      </w:divBdr>
    </w:div>
    <w:div w:id="1872381273">
      <w:bodyDiv w:val="1"/>
      <w:marLeft w:val="0"/>
      <w:marRight w:val="0"/>
      <w:marTop w:val="0"/>
      <w:marBottom w:val="0"/>
      <w:divBdr>
        <w:top w:val="none" w:sz="0" w:space="0" w:color="auto"/>
        <w:left w:val="none" w:sz="0" w:space="0" w:color="auto"/>
        <w:bottom w:val="none" w:sz="0" w:space="0" w:color="auto"/>
        <w:right w:val="none" w:sz="0" w:space="0" w:color="auto"/>
      </w:divBdr>
    </w:div>
    <w:div w:id="2060009573">
      <w:bodyDiv w:val="1"/>
      <w:marLeft w:val="0"/>
      <w:marRight w:val="0"/>
      <w:marTop w:val="0"/>
      <w:marBottom w:val="0"/>
      <w:divBdr>
        <w:top w:val="none" w:sz="0" w:space="0" w:color="auto"/>
        <w:left w:val="none" w:sz="0" w:space="0" w:color="auto"/>
        <w:bottom w:val="none" w:sz="0" w:space="0" w:color="auto"/>
        <w:right w:val="none" w:sz="0" w:space="0" w:color="auto"/>
      </w:divBdr>
    </w:div>
    <w:div w:id="2099594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10.png"/><Relationship Id="rId26"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hart" Target="charts/chart3.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chart" Target="charts/chart2.xml"/><Relationship Id="rId30"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oleObject" Target="file:///\\server\Common\OTC\Committees\Modeling%20Committee\Projects\Health%20Effects\BenMap%20Rollbacks\BenMap%20Rollback%20Analysis%20Results%20-%20v1.3.5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erver\Common\OTC\Committees\Modeling%20Committee\Projects\Health%20Effects\BenMap%20Rollbacks\BenMap%20Rollback%20Analysis%20Results%20-%20v1.3.5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erver\Common\OTC\Committees\Modeling%20Committee\Projects\Health%20Effects\BenMap%20Rollbacks\BenMap%20Rollback%20Analysis%20Results%20-%20v1.3.5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erver\Common\OTC\Committees\Modeling%20Committee\Projects\Health%20Effects\BenMap%20Rollbacks\BenMap%20Rollback%20Analysis%20Results%20-%20v1.3.5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erver\Common\OTC\Committees\Modeling%20Committee\Projects\Health%20Effects\BenMap%20Rollbacks\BenMap%20Rollback%20Analysis%20Results%20-%20v1.3.5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server\Common\OTC\Committees\Modeling%20Committee\Projects\Health%20Effects\BenMap%20Rollbacks\BenMap%20Rollback%20Analysis%20Results%20-%20v1.3.52-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[BenMap Rollback Analysis Results - v1.3.52.xlsx]O3 Mortality OTR Chart S70!PivotTable1</c:name>
    <c:fmtId val="-1"/>
  </c:pivotSource>
  <c:chart>
    <c:autoTitleDeleted val="0"/>
    <c:pivotFmts>
      <c:pivotFmt>
        <c:idx val="0"/>
        <c:spPr>
          <a:solidFill>
            <a:schemeClr val="accent1"/>
          </a:solidFill>
          <a:ln w="28575" cap="rnd">
            <a:noFill/>
            <a:round/>
          </a:ln>
          <a:effectLst/>
        </c:spPr>
        <c:marker>
          <c:symbol val="circle"/>
          <c:size val="10"/>
          <c:spPr>
            <a:solidFill>
              <a:schemeClr val="tx1"/>
            </a:solidFill>
            <a:ln w="9525">
              <a:noFill/>
            </a:ln>
            <a:effectLst/>
          </c:spPr>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w="28575" cap="rnd">
            <a:noFill/>
            <a:round/>
          </a:ln>
          <a:effectLst/>
        </c:spPr>
        <c:marker>
          <c:symbol val="circle"/>
          <c:size val="7"/>
          <c:spPr>
            <a:solidFill>
              <a:schemeClr val="tx1"/>
            </a:solidFill>
            <a:ln w="9525">
              <a:noFill/>
            </a:ln>
            <a:effectLst/>
          </c:spPr>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bg1"/>
          </a:solidFill>
          <a:ln>
            <a:solidFill>
              <a:schemeClr val="bg1"/>
            </a:solidFill>
          </a:ln>
          <a:effectLst/>
        </c:spPr>
        <c:marker>
          <c:symbol val="none"/>
        </c:marker>
      </c:pivotFmt>
      <c:pivotFmt>
        <c:idx val="11"/>
        <c:spPr>
          <a:solidFill>
            <a:schemeClr val="accent1"/>
          </a:solidFill>
          <a:ln w="28575" cap="rnd">
            <a:noFill/>
            <a:round/>
          </a:ln>
          <a:effectLst/>
        </c:spPr>
        <c:marker>
          <c:symbol val="circle"/>
          <c:size val="6"/>
          <c:spPr>
            <a:solidFill>
              <a:schemeClr val="tx1"/>
            </a:solidFill>
            <a:ln w="9525">
              <a:solidFill>
                <a:schemeClr val="accent1"/>
              </a:solidFill>
            </a:ln>
            <a:effectLst/>
          </c:spPr>
        </c:marker>
      </c:pivotFmt>
      <c:pivotFmt>
        <c:idx val="12"/>
        <c:spPr>
          <a:solidFill>
            <a:schemeClr val="accent1">
              <a:lumMod val="40000"/>
              <a:lumOff val="60000"/>
            </a:schemeClr>
          </a:solidFill>
          <a:ln>
            <a:solidFill>
              <a:schemeClr val="tx1"/>
            </a:solidFill>
          </a:ln>
          <a:effectLst/>
        </c:spPr>
        <c:marker>
          <c:symbol val="none"/>
        </c:marker>
      </c:pivotFmt>
      <c:pivotFmt>
        <c:idx val="13"/>
        <c:spPr>
          <a:solidFill>
            <a:schemeClr val="accent1"/>
          </a:solidFill>
          <a:ln w="28575" cap="rnd">
            <a:noFill/>
            <a:round/>
          </a:ln>
          <a:effectLst/>
        </c:spPr>
        <c:marker>
          <c:symbol val="circle"/>
          <c:size val="6"/>
          <c:spPr>
            <a:solidFill>
              <a:schemeClr val="tx1"/>
            </a:solidFill>
            <a:ln w="9525">
              <a:solidFill>
                <a:schemeClr val="accent1"/>
              </a:solidFill>
            </a:ln>
            <a:effectLst/>
          </c:spPr>
        </c:marker>
      </c:pivotFmt>
      <c:pivotFmt>
        <c:idx val="14"/>
        <c:spPr>
          <a:solidFill>
            <a:schemeClr val="bg1"/>
          </a:solidFill>
          <a:ln>
            <a:solidFill>
              <a:schemeClr val="bg1"/>
            </a:solidFill>
          </a:ln>
          <a:effectLst/>
        </c:spPr>
        <c:marker>
          <c:symbol val="none"/>
        </c:marker>
      </c:pivotFmt>
      <c:pivotFmt>
        <c:idx val="15"/>
        <c:spPr>
          <a:solidFill>
            <a:schemeClr val="accent1"/>
          </a:solidFill>
          <a:ln>
            <a:solidFill>
              <a:schemeClr val="tx1"/>
            </a:solidFill>
          </a:ln>
          <a:effectLst/>
        </c:spPr>
        <c:marker>
          <c:symbol val="none"/>
        </c:marker>
      </c:pivotFmt>
      <c:pivotFmt>
        <c:idx val="16"/>
        <c:spPr>
          <a:solidFill>
            <a:schemeClr val="accent1">
              <a:lumMod val="40000"/>
              <a:lumOff val="60000"/>
            </a:schemeClr>
          </a:solidFill>
          <a:ln>
            <a:noFill/>
          </a:ln>
          <a:effectLst/>
        </c:spPr>
        <c:marker>
          <c:symbol val="none"/>
        </c:marker>
      </c:pivotFmt>
      <c:pivotFmt>
        <c:idx val="17"/>
        <c:spPr>
          <a:solidFill>
            <a:schemeClr val="bg1"/>
          </a:solidFill>
          <a:ln>
            <a:solidFill>
              <a:schemeClr val="bg1"/>
            </a:solidFill>
          </a:ln>
          <a:effectLst/>
        </c:spPr>
        <c:marker>
          <c:symbol val="none"/>
        </c:marker>
      </c:pivotFmt>
      <c:pivotFmt>
        <c:idx val="18"/>
        <c:spPr>
          <a:solidFill>
            <a:schemeClr val="accent1"/>
          </a:solidFill>
          <a:ln w="28575" cap="rnd">
            <a:noFill/>
            <a:round/>
          </a:ln>
          <a:effectLst/>
        </c:spPr>
        <c:marker>
          <c:symbol val="circle"/>
          <c:size val="6"/>
          <c:spPr>
            <a:solidFill>
              <a:schemeClr val="tx1"/>
            </a:solidFill>
            <a:ln w="9525">
              <a:solidFill>
                <a:schemeClr val="accent1"/>
              </a:solidFill>
            </a:ln>
            <a:effectLst/>
          </c:spPr>
        </c:marker>
      </c:pivotFmt>
      <c:pivotFmt>
        <c:idx val="19"/>
        <c:spPr>
          <a:solidFill>
            <a:schemeClr val="accent1"/>
          </a:solidFill>
          <a:ln w="25400">
            <a:noFill/>
          </a:ln>
          <a:effectLst/>
        </c:spPr>
        <c:marker>
          <c:symbol val="none"/>
        </c:marker>
      </c:pivotFmt>
      <c:pivotFmt>
        <c:idx val="20"/>
        <c:spPr>
          <a:solidFill>
            <a:schemeClr val="accent1">
              <a:lumMod val="40000"/>
              <a:lumOff val="60000"/>
            </a:schemeClr>
          </a:solidFill>
          <a:ln w="25400">
            <a:noFill/>
          </a:ln>
          <a:effectLst/>
        </c:spPr>
        <c:marker>
          <c:symbol val="none"/>
        </c:marker>
      </c:pivotFmt>
      <c:pivotFmt>
        <c:idx val="21"/>
        <c:spPr>
          <a:solidFill>
            <a:schemeClr val="bg1"/>
          </a:solidFill>
          <a:ln w="25400">
            <a:noFill/>
          </a:ln>
          <a:effectLst/>
        </c:spPr>
        <c:marker>
          <c:symbol val="none"/>
        </c:marker>
      </c:pivotFmt>
      <c:pivotFmt>
        <c:idx val="22"/>
        <c:spPr>
          <a:solidFill>
            <a:schemeClr val="accent1"/>
          </a:solidFill>
          <a:ln w="25400">
            <a:noFill/>
          </a:ln>
          <a:effectLst/>
        </c:spPr>
        <c:marker>
          <c:symbol val="none"/>
        </c:marker>
      </c:pivotFmt>
      <c:pivotFmt>
        <c:idx val="23"/>
        <c:spPr>
          <a:solidFill>
            <a:schemeClr val="accent1">
              <a:lumMod val="40000"/>
              <a:lumOff val="60000"/>
            </a:schemeClr>
          </a:solidFill>
          <a:ln w="25400">
            <a:noFill/>
          </a:ln>
          <a:effectLst/>
        </c:spPr>
        <c:marker>
          <c:symbol val="none"/>
        </c:marker>
      </c:pivotFmt>
      <c:pivotFmt>
        <c:idx val="24"/>
        <c:spPr>
          <a:solidFill>
            <a:schemeClr val="bg1"/>
          </a:solidFill>
          <a:ln w="25400">
            <a:noFill/>
          </a:ln>
          <a:effectLst/>
        </c:spPr>
        <c:marker>
          <c:symbol val="none"/>
        </c:marker>
      </c:pivotFmt>
      <c:pivotFmt>
        <c:idx val="25"/>
        <c:spPr>
          <a:solidFill>
            <a:schemeClr val="accent1"/>
          </a:solidFill>
          <a:ln w="25400">
            <a:noFill/>
          </a:ln>
          <a:effectLst/>
        </c:spPr>
        <c:marker>
          <c:symbol val="none"/>
        </c:marker>
      </c:pivotFmt>
      <c:pivotFmt>
        <c:idx val="26"/>
        <c:spPr>
          <a:solidFill>
            <a:schemeClr val="accent1">
              <a:lumMod val="40000"/>
              <a:lumOff val="60000"/>
            </a:schemeClr>
          </a:solidFill>
          <a:ln w="25400">
            <a:noFill/>
          </a:ln>
          <a:effectLst/>
        </c:spPr>
        <c:marker>
          <c:symbol val="none"/>
        </c:marker>
      </c:pivotFmt>
      <c:pivotFmt>
        <c:idx val="27"/>
        <c:spPr>
          <a:solidFill>
            <a:schemeClr val="bg1"/>
          </a:solidFill>
          <a:ln w="25400">
            <a:noFill/>
          </a:ln>
          <a:effectLst/>
        </c:spPr>
        <c:marker>
          <c:symbol val="none"/>
        </c:marker>
      </c:pivotFmt>
      <c:pivotFmt>
        <c:idx val="28"/>
        <c:spPr>
          <a:solidFill>
            <a:schemeClr val="accent1"/>
          </a:solidFill>
          <a:ln w="25400">
            <a:noFill/>
          </a:ln>
          <a:effectLst/>
        </c:spPr>
        <c:marker>
          <c:symbol val="none"/>
        </c:marker>
      </c:pivotFmt>
      <c:pivotFmt>
        <c:idx val="29"/>
        <c:spPr>
          <a:solidFill>
            <a:schemeClr val="accent1">
              <a:lumMod val="40000"/>
              <a:lumOff val="60000"/>
            </a:schemeClr>
          </a:solidFill>
          <a:ln w="25400">
            <a:noFill/>
          </a:ln>
          <a:effectLst/>
        </c:spPr>
        <c:marker>
          <c:symbol val="none"/>
        </c:marker>
      </c:pivotFmt>
      <c:pivotFmt>
        <c:idx val="30"/>
        <c:spPr>
          <a:solidFill>
            <a:schemeClr val="bg1"/>
          </a:solidFill>
          <a:ln w="25400">
            <a:noFill/>
          </a:ln>
          <a:effectLst/>
        </c:spPr>
        <c:marker>
          <c:symbol val="none"/>
        </c:marker>
      </c:pivotFmt>
      <c:pivotFmt>
        <c:idx val="31"/>
        <c:spPr>
          <a:solidFill>
            <a:schemeClr val="accent1"/>
          </a:solidFill>
          <a:ln w="25400">
            <a:noFill/>
          </a:ln>
          <a:effectLst/>
        </c:spPr>
        <c:marker>
          <c:symbol val="none"/>
        </c:marker>
      </c:pivotFmt>
      <c:pivotFmt>
        <c:idx val="32"/>
        <c:spPr>
          <a:solidFill>
            <a:schemeClr val="accent1">
              <a:lumMod val="40000"/>
              <a:lumOff val="60000"/>
            </a:schemeClr>
          </a:solidFill>
          <a:ln w="25400">
            <a:noFill/>
          </a:ln>
          <a:effectLst/>
        </c:spPr>
        <c:marker>
          <c:symbol val="none"/>
        </c:marker>
      </c:pivotFmt>
      <c:pivotFmt>
        <c:idx val="33"/>
        <c:spPr>
          <a:solidFill>
            <a:schemeClr val="bg1"/>
          </a:solidFill>
          <a:ln w="25400">
            <a:noFill/>
          </a:ln>
          <a:effectLst/>
        </c:spPr>
        <c:marker>
          <c:symbol val="none"/>
        </c:marker>
      </c:pivotFmt>
      <c:pivotFmt>
        <c:idx val="34"/>
        <c:spPr>
          <a:solidFill>
            <a:schemeClr val="accent1"/>
          </a:solidFill>
          <a:ln w="25400">
            <a:noFill/>
          </a:ln>
          <a:effectLst/>
        </c:spPr>
        <c:marker>
          <c:symbol val="none"/>
        </c:marker>
      </c:pivotFmt>
      <c:pivotFmt>
        <c:idx val="35"/>
        <c:spPr>
          <a:solidFill>
            <a:schemeClr val="accent1">
              <a:lumMod val="40000"/>
              <a:lumOff val="60000"/>
            </a:schemeClr>
          </a:solidFill>
          <a:ln w="25400">
            <a:noFill/>
          </a:ln>
          <a:effectLst/>
        </c:spPr>
        <c:marker>
          <c:symbol val="none"/>
        </c:marker>
      </c:pivotFmt>
      <c:pivotFmt>
        <c:idx val="36"/>
        <c:spPr>
          <a:solidFill>
            <a:schemeClr val="bg1"/>
          </a:solidFill>
          <a:ln w="25400">
            <a:noFill/>
          </a:ln>
          <a:effectLst/>
        </c:spPr>
        <c:marker>
          <c:symbol val="none"/>
        </c:marker>
      </c:pivotFmt>
      <c:pivotFmt>
        <c:idx val="37"/>
        <c:spPr>
          <a:solidFill>
            <a:schemeClr val="accent1"/>
          </a:solidFill>
          <a:ln w="25400">
            <a:noFill/>
          </a:ln>
          <a:effectLst/>
        </c:spPr>
        <c:marker>
          <c:symbol val="none"/>
        </c:marker>
      </c:pivotFmt>
      <c:pivotFmt>
        <c:idx val="38"/>
        <c:spPr>
          <a:solidFill>
            <a:schemeClr val="accent1">
              <a:lumMod val="40000"/>
              <a:lumOff val="60000"/>
            </a:schemeClr>
          </a:solidFill>
          <a:ln w="25400">
            <a:noFill/>
          </a:ln>
          <a:effectLst/>
        </c:spPr>
        <c:marker>
          <c:symbol val="none"/>
        </c:marker>
      </c:pivotFmt>
      <c:pivotFmt>
        <c:idx val="39"/>
        <c:spPr>
          <a:solidFill>
            <a:schemeClr val="bg1"/>
          </a:solidFill>
          <a:ln w="25400">
            <a:noFill/>
          </a:ln>
          <a:effectLst/>
        </c:spPr>
        <c:marker>
          <c:symbol val="none"/>
        </c:marker>
      </c:pivotFmt>
      <c:pivotFmt>
        <c:idx val="40"/>
        <c:spPr>
          <a:solidFill>
            <a:schemeClr val="accent1"/>
          </a:solidFill>
          <a:ln w="25400">
            <a:noFill/>
          </a:ln>
          <a:effectLst/>
        </c:spPr>
        <c:marker>
          <c:symbol val="none"/>
        </c:marker>
      </c:pivotFmt>
      <c:pivotFmt>
        <c:idx val="41"/>
        <c:spPr>
          <a:solidFill>
            <a:schemeClr val="accent1">
              <a:lumMod val="40000"/>
              <a:lumOff val="60000"/>
            </a:schemeClr>
          </a:solidFill>
          <a:ln w="25400">
            <a:noFill/>
          </a:ln>
          <a:effectLst/>
        </c:spPr>
        <c:marker>
          <c:symbol val="none"/>
        </c:marker>
      </c:pivotFmt>
      <c:pivotFmt>
        <c:idx val="42"/>
        <c:spPr>
          <a:solidFill>
            <a:schemeClr val="bg1"/>
          </a:solidFill>
          <a:ln w="25400">
            <a:noFill/>
          </a:ln>
          <a:effectLst/>
        </c:spPr>
        <c:marker>
          <c:symbol val="none"/>
        </c:marker>
      </c:pivotFmt>
      <c:pivotFmt>
        <c:idx val="43"/>
        <c:spPr>
          <a:solidFill>
            <a:schemeClr val="accent1"/>
          </a:solidFill>
          <a:ln w="25400">
            <a:noFill/>
          </a:ln>
          <a:effectLst/>
        </c:spPr>
        <c:marker>
          <c:symbol val="none"/>
        </c:marker>
      </c:pivotFmt>
      <c:pivotFmt>
        <c:idx val="44"/>
        <c:spPr>
          <a:solidFill>
            <a:schemeClr val="accent1">
              <a:lumMod val="40000"/>
              <a:lumOff val="60000"/>
            </a:schemeClr>
          </a:solidFill>
          <a:ln w="25400">
            <a:noFill/>
          </a:ln>
          <a:effectLst/>
        </c:spPr>
        <c:marker>
          <c:symbol val="none"/>
        </c:marker>
      </c:pivotFmt>
      <c:pivotFmt>
        <c:idx val="45"/>
        <c:spPr>
          <a:solidFill>
            <a:schemeClr val="bg1"/>
          </a:solidFill>
          <a:ln w="25400">
            <a:noFill/>
          </a:ln>
          <a:effectLst/>
        </c:spPr>
        <c:marker>
          <c:symbol val="none"/>
        </c:marker>
      </c:pivotFmt>
      <c:pivotFmt>
        <c:idx val="46"/>
        <c:spPr>
          <a:solidFill>
            <a:schemeClr val="accent1"/>
          </a:solidFill>
          <a:ln w="25400">
            <a:noFill/>
          </a:ln>
          <a:effectLst/>
        </c:spPr>
        <c:marker>
          <c:symbol val="none"/>
        </c:marker>
      </c:pivotFmt>
      <c:pivotFmt>
        <c:idx val="47"/>
        <c:spPr>
          <a:solidFill>
            <a:schemeClr val="accent1">
              <a:lumMod val="40000"/>
              <a:lumOff val="60000"/>
            </a:schemeClr>
          </a:solidFill>
          <a:ln w="25400">
            <a:noFill/>
          </a:ln>
          <a:effectLst/>
        </c:spPr>
        <c:marker>
          <c:symbol val="none"/>
        </c:marker>
      </c:pivotFmt>
      <c:pivotFmt>
        <c:idx val="48"/>
        <c:spPr>
          <a:solidFill>
            <a:schemeClr val="bg1"/>
          </a:solidFill>
          <a:ln w="25400">
            <a:noFill/>
          </a:ln>
          <a:effectLst/>
        </c:spPr>
        <c:marker>
          <c:symbol val="none"/>
        </c:marker>
      </c:pivotFmt>
      <c:pivotFmt>
        <c:idx val="49"/>
        <c:spPr>
          <a:solidFill>
            <a:schemeClr val="accent1"/>
          </a:solidFill>
          <a:ln w="25400">
            <a:noFill/>
          </a:ln>
          <a:effectLst/>
        </c:spPr>
        <c:marker>
          <c:symbol val="none"/>
        </c:marker>
      </c:pivotFmt>
      <c:pivotFmt>
        <c:idx val="50"/>
        <c:spPr>
          <a:solidFill>
            <a:schemeClr val="accent1">
              <a:lumMod val="40000"/>
              <a:lumOff val="60000"/>
            </a:schemeClr>
          </a:solidFill>
          <a:ln w="25400">
            <a:noFill/>
          </a:ln>
          <a:effectLst/>
        </c:spPr>
        <c:marker>
          <c:symbol val="none"/>
        </c:marker>
      </c:pivotFmt>
      <c:pivotFmt>
        <c:idx val="51"/>
        <c:spPr>
          <a:solidFill>
            <a:schemeClr val="bg1"/>
          </a:solidFill>
          <a:ln w="25400">
            <a:noFill/>
          </a:ln>
          <a:effectLst/>
        </c:spPr>
        <c:marker>
          <c:symbol val="none"/>
        </c:marker>
      </c:pivotFmt>
      <c:pivotFmt>
        <c:idx val="52"/>
        <c:spPr>
          <a:solidFill>
            <a:schemeClr val="accent1"/>
          </a:solidFill>
          <a:ln w="25400">
            <a:noFill/>
          </a:ln>
          <a:effectLst/>
        </c:spPr>
        <c:marker>
          <c:symbol val="none"/>
        </c:marker>
      </c:pivotFmt>
      <c:pivotFmt>
        <c:idx val="53"/>
        <c:spPr>
          <a:solidFill>
            <a:schemeClr val="accent1">
              <a:lumMod val="40000"/>
              <a:lumOff val="60000"/>
            </a:schemeClr>
          </a:solidFill>
          <a:ln w="25400">
            <a:noFill/>
          </a:ln>
          <a:effectLst/>
        </c:spPr>
        <c:marker>
          <c:symbol val="none"/>
        </c:marker>
      </c:pivotFmt>
      <c:pivotFmt>
        <c:idx val="54"/>
        <c:spPr>
          <a:solidFill>
            <a:schemeClr val="bg1"/>
          </a:solidFill>
          <a:ln w="25400">
            <a:noFill/>
          </a:ln>
          <a:effectLst/>
        </c:spPr>
        <c:marker>
          <c:symbol val="none"/>
        </c:marker>
      </c:pivotFmt>
      <c:pivotFmt>
        <c:idx val="55"/>
        <c:spPr>
          <a:solidFill>
            <a:schemeClr val="accent1">
              <a:lumMod val="40000"/>
              <a:lumOff val="60000"/>
            </a:schemeClr>
          </a:solidFill>
          <a:ln>
            <a:noFill/>
          </a:ln>
          <a:effectLst/>
        </c:spPr>
        <c:marker>
          <c:symbol val="none"/>
        </c:marker>
      </c:pivotFmt>
      <c:pivotFmt>
        <c:idx val="56"/>
        <c:spPr>
          <a:solidFill>
            <a:schemeClr val="bg1"/>
          </a:solidFill>
          <a:ln>
            <a:solidFill>
              <a:schemeClr val="bg1"/>
            </a:solidFill>
          </a:ln>
          <a:effectLst/>
        </c:spPr>
        <c:marker>
          <c:symbol val="none"/>
        </c:marker>
      </c:pivotFmt>
      <c:pivotFmt>
        <c:idx val="57"/>
        <c:spPr>
          <a:solidFill>
            <a:schemeClr val="accent1"/>
          </a:solidFill>
          <a:ln w="28575" cap="rnd">
            <a:noFill/>
            <a:round/>
          </a:ln>
          <a:effectLst/>
        </c:spPr>
        <c:marker>
          <c:symbol val="circle"/>
          <c:size val="6"/>
          <c:spPr>
            <a:solidFill>
              <a:schemeClr val="tx1"/>
            </a:solidFill>
            <a:ln w="9525">
              <a:solidFill>
                <a:schemeClr val="accent1"/>
              </a:solidFill>
            </a:ln>
            <a:effectLst/>
          </c:spPr>
        </c:marker>
      </c:pivotFmt>
      <c:pivotFmt>
        <c:idx val="58"/>
        <c:spPr>
          <a:solidFill>
            <a:schemeClr val="accent1">
              <a:lumMod val="40000"/>
              <a:lumOff val="60000"/>
            </a:schemeClr>
          </a:solidFill>
          <a:ln>
            <a:noFill/>
          </a:ln>
          <a:effectLst/>
        </c:spPr>
        <c:marker>
          <c:symbol val="none"/>
        </c:marker>
      </c:pivotFmt>
      <c:pivotFmt>
        <c:idx val="59"/>
        <c:spPr>
          <a:solidFill>
            <a:schemeClr val="bg1"/>
          </a:solidFill>
          <a:ln>
            <a:solidFill>
              <a:schemeClr val="bg1"/>
            </a:solidFill>
          </a:ln>
          <a:effectLst/>
        </c:spPr>
        <c:marker>
          <c:symbol val="none"/>
        </c:marker>
      </c:pivotFmt>
      <c:pivotFmt>
        <c:idx val="60"/>
        <c:spPr>
          <a:solidFill>
            <a:schemeClr val="accent1"/>
          </a:solidFill>
          <a:ln w="28575" cap="rnd">
            <a:noFill/>
            <a:round/>
          </a:ln>
          <a:effectLst/>
        </c:spPr>
        <c:marker>
          <c:symbol val="circle"/>
          <c:size val="6"/>
          <c:spPr>
            <a:solidFill>
              <a:schemeClr val="tx1"/>
            </a:solidFill>
            <a:ln w="9525">
              <a:solidFill>
                <a:schemeClr val="accent1"/>
              </a:solidFill>
            </a:ln>
            <a:effectLst/>
          </c:spPr>
        </c:marker>
      </c:pivotFmt>
    </c:pivotFmts>
    <c:plotArea>
      <c:layout/>
      <c:barChart>
        <c:barDir val="col"/>
        <c:grouping val="clustered"/>
        <c:varyColors val="0"/>
        <c:ser>
          <c:idx val="1"/>
          <c:order val="1"/>
          <c:tx>
            <c:strRef>
              <c:f>'O3 Mortality OTR Chart S70'!$C$8</c:f>
              <c:strCache>
                <c:ptCount val="1"/>
                <c:pt idx="0">
                  <c:v>2 Standard Deviations</c:v>
                </c:pt>
              </c:strCache>
            </c:strRef>
          </c:tx>
          <c:spPr>
            <a:solidFill>
              <a:schemeClr val="accent1">
                <a:lumMod val="40000"/>
                <a:lumOff val="60000"/>
              </a:schemeClr>
            </a:solidFill>
            <a:ln>
              <a:noFill/>
            </a:ln>
            <a:effectLst/>
          </c:spPr>
          <c:invertIfNegative val="0"/>
          <c:cat>
            <c:multiLvlStrRef>
              <c:f>'O3 Mortality OTR Chart S70'!$A$9:$A$73</c:f>
              <c:multiLvlStrCache>
                <c:ptCount val="52"/>
                <c:lvl>
                  <c:pt idx="0">
                    <c:v>2013</c:v>
                  </c:pt>
                  <c:pt idx="1">
                    <c:v>2014</c:v>
                  </c:pt>
                  <c:pt idx="2">
                    <c:v>2015</c:v>
                  </c:pt>
                  <c:pt idx="3">
                    <c:v>2016</c:v>
                  </c:pt>
                  <c:pt idx="4">
                    <c:v>2013</c:v>
                  </c:pt>
                  <c:pt idx="5">
                    <c:v>2014</c:v>
                  </c:pt>
                  <c:pt idx="6">
                    <c:v>2015</c:v>
                  </c:pt>
                  <c:pt idx="7">
                    <c:v>2016</c:v>
                  </c:pt>
                  <c:pt idx="8">
                    <c:v>2013</c:v>
                  </c:pt>
                  <c:pt idx="9">
                    <c:v>2014</c:v>
                  </c:pt>
                  <c:pt idx="10">
                    <c:v>2015</c:v>
                  </c:pt>
                  <c:pt idx="11">
                    <c:v>2016</c:v>
                  </c:pt>
                  <c:pt idx="12">
                    <c:v>2013</c:v>
                  </c:pt>
                  <c:pt idx="13">
                    <c:v>2014</c:v>
                  </c:pt>
                  <c:pt idx="14">
                    <c:v>2015</c:v>
                  </c:pt>
                  <c:pt idx="15">
                    <c:v>2016</c:v>
                  </c:pt>
                  <c:pt idx="16">
                    <c:v>2013</c:v>
                  </c:pt>
                  <c:pt idx="17">
                    <c:v>2014</c:v>
                  </c:pt>
                  <c:pt idx="18">
                    <c:v>2015</c:v>
                  </c:pt>
                  <c:pt idx="19">
                    <c:v>2016</c:v>
                  </c:pt>
                  <c:pt idx="20">
                    <c:v>2013</c:v>
                  </c:pt>
                  <c:pt idx="21">
                    <c:v>2014</c:v>
                  </c:pt>
                  <c:pt idx="22">
                    <c:v>2015</c:v>
                  </c:pt>
                  <c:pt idx="23">
                    <c:v>2016</c:v>
                  </c:pt>
                  <c:pt idx="24">
                    <c:v>2013</c:v>
                  </c:pt>
                  <c:pt idx="25">
                    <c:v>2014</c:v>
                  </c:pt>
                  <c:pt idx="26">
                    <c:v>2015</c:v>
                  </c:pt>
                  <c:pt idx="27">
                    <c:v>2016</c:v>
                  </c:pt>
                  <c:pt idx="28">
                    <c:v>2013</c:v>
                  </c:pt>
                  <c:pt idx="29">
                    <c:v>2014</c:v>
                  </c:pt>
                  <c:pt idx="30">
                    <c:v>2015</c:v>
                  </c:pt>
                  <c:pt idx="31">
                    <c:v>2016</c:v>
                  </c:pt>
                  <c:pt idx="32">
                    <c:v>2013</c:v>
                  </c:pt>
                  <c:pt idx="33">
                    <c:v>2014</c:v>
                  </c:pt>
                  <c:pt idx="34">
                    <c:v>2015</c:v>
                  </c:pt>
                  <c:pt idx="35">
                    <c:v>2016</c:v>
                  </c:pt>
                  <c:pt idx="36">
                    <c:v>2013</c:v>
                  </c:pt>
                  <c:pt idx="37">
                    <c:v>2014</c:v>
                  </c:pt>
                  <c:pt idx="38">
                    <c:v>2015</c:v>
                  </c:pt>
                  <c:pt idx="39">
                    <c:v>2016</c:v>
                  </c:pt>
                  <c:pt idx="40">
                    <c:v>2013</c:v>
                  </c:pt>
                  <c:pt idx="41">
                    <c:v>2014</c:v>
                  </c:pt>
                  <c:pt idx="42">
                    <c:v>2015</c:v>
                  </c:pt>
                  <c:pt idx="43">
                    <c:v>2016</c:v>
                  </c:pt>
                  <c:pt idx="44">
                    <c:v>2013</c:v>
                  </c:pt>
                  <c:pt idx="45">
                    <c:v>2014</c:v>
                  </c:pt>
                  <c:pt idx="46">
                    <c:v>2015</c:v>
                  </c:pt>
                  <c:pt idx="47">
                    <c:v>2016</c:v>
                  </c:pt>
                  <c:pt idx="48">
                    <c:v>2013</c:v>
                  </c:pt>
                  <c:pt idx="49">
                    <c:v>2014</c:v>
                  </c:pt>
                  <c:pt idx="50">
                    <c:v>2015</c:v>
                  </c:pt>
                  <c:pt idx="51">
                    <c:v>2016</c:v>
                  </c:pt>
                </c:lvl>
                <c:lvl>
                  <c:pt idx="0">
                    <c:v>CT</c:v>
                  </c:pt>
                  <c:pt idx="4">
                    <c:v>DE</c:v>
                  </c:pt>
                  <c:pt idx="8">
                    <c:v>DC</c:v>
                  </c:pt>
                  <c:pt idx="12">
                    <c:v>ME</c:v>
                  </c:pt>
                  <c:pt idx="16">
                    <c:v>MD</c:v>
                  </c:pt>
                  <c:pt idx="20">
                    <c:v>MA</c:v>
                  </c:pt>
                  <c:pt idx="24">
                    <c:v>NH</c:v>
                  </c:pt>
                  <c:pt idx="28">
                    <c:v>NJ</c:v>
                  </c:pt>
                  <c:pt idx="32">
                    <c:v>NY</c:v>
                  </c:pt>
                  <c:pt idx="36">
                    <c:v>PA</c:v>
                  </c:pt>
                  <c:pt idx="40">
                    <c:v>RI</c:v>
                  </c:pt>
                  <c:pt idx="44">
                    <c:v>VT</c:v>
                  </c:pt>
                  <c:pt idx="48">
                    <c:v>VA-OTR</c:v>
                  </c:pt>
                </c:lvl>
              </c:multiLvlStrCache>
            </c:multiLvlStrRef>
          </c:cat>
          <c:val>
            <c:numRef>
              <c:f>'O3 Mortality OTR Chart S70'!$C$9:$C$73</c:f>
              <c:numCache>
                <c:formatCode>#,##0</c:formatCode>
                <c:ptCount val="52"/>
                <c:pt idx="0">
                  <c:v>177.3376197814946</c:v>
                </c:pt>
                <c:pt idx="1">
                  <c:v>156.8188476562496</c:v>
                </c:pt>
                <c:pt idx="2">
                  <c:v>217.6792755126956</c:v>
                </c:pt>
                <c:pt idx="3">
                  <c:v>218.22901916503901</c:v>
                </c:pt>
                <c:pt idx="4">
                  <c:v>12.06913089752198</c:v>
                </c:pt>
                <c:pt idx="5">
                  <c:v>15.751636505126921</c:v>
                </c:pt>
                <c:pt idx="6">
                  <c:v>36.944747924804659</c:v>
                </c:pt>
                <c:pt idx="7">
                  <c:v>42.66021919250484</c:v>
                </c:pt>
                <c:pt idx="8">
                  <c:v>0.1196764186024666</c:v>
                </c:pt>
                <c:pt idx="9">
                  <c:v>5.8074066638946578</c:v>
                </c:pt>
                <c:pt idx="10">
                  <c:v>27.024905204772956</c:v>
                </c:pt>
                <c:pt idx="11">
                  <c:v>17.100567340850858</c:v>
                </c:pt>
                <c:pt idx="12">
                  <c:v>11.784261226654049</c:v>
                </c:pt>
                <c:pt idx="13">
                  <c:v>0</c:v>
                </c:pt>
                <c:pt idx="14">
                  <c:v>0.46782536804676023</c:v>
                </c:pt>
                <c:pt idx="15">
                  <c:v>0</c:v>
                </c:pt>
                <c:pt idx="16">
                  <c:v>69.931789398193402</c:v>
                </c:pt>
                <c:pt idx="17">
                  <c:v>36.132339477539062</c:v>
                </c:pt>
                <c:pt idx="18">
                  <c:v>327.31307220459018</c:v>
                </c:pt>
                <c:pt idx="19">
                  <c:v>354.71144866943382</c:v>
                </c:pt>
                <c:pt idx="20">
                  <c:v>177.5031089782712</c:v>
                </c:pt>
                <c:pt idx="21">
                  <c:v>9.5952517986297501</c:v>
                </c:pt>
                <c:pt idx="22">
                  <c:v>70.692945480346694</c:v>
                </c:pt>
                <c:pt idx="23">
                  <c:v>155.01116180419899</c:v>
                </c:pt>
                <c:pt idx="24">
                  <c:v>1.0426455438137061</c:v>
                </c:pt>
                <c:pt idx="25">
                  <c:v>0</c:v>
                </c:pt>
                <c:pt idx="26">
                  <c:v>3.4647028446197479</c:v>
                </c:pt>
                <c:pt idx="27">
                  <c:v>0.86837688088417098</c:v>
                </c:pt>
                <c:pt idx="28">
                  <c:v>314.9400329589842</c:v>
                </c:pt>
                <c:pt idx="29">
                  <c:v>213.3062820434572</c:v>
                </c:pt>
                <c:pt idx="30">
                  <c:v>533.88441467285202</c:v>
                </c:pt>
                <c:pt idx="31">
                  <c:v>453.27406311035179</c:v>
                </c:pt>
                <c:pt idx="32">
                  <c:v>466.82800292968739</c:v>
                </c:pt>
                <c:pt idx="33">
                  <c:v>273.5764007568356</c:v>
                </c:pt>
                <c:pt idx="34">
                  <c:v>675.41693115234307</c:v>
                </c:pt>
                <c:pt idx="35">
                  <c:v>574.84513854980457</c:v>
                </c:pt>
                <c:pt idx="36">
                  <c:v>232.73964691162098</c:v>
                </c:pt>
                <c:pt idx="37">
                  <c:v>219.2872390747076</c:v>
                </c:pt>
                <c:pt idx="38">
                  <c:v>528.91976928710892</c:v>
                </c:pt>
                <c:pt idx="39">
                  <c:v>595.48910522460915</c:v>
                </c:pt>
                <c:pt idx="40">
                  <c:v>52.272226333618136</c:v>
                </c:pt>
                <c:pt idx="41">
                  <c:v>0</c:v>
                </c:pt>
                <c:pt idx="42">
                  <c:v>61.393749237060604</c:v>
                </c:pt>
                <c:pt idx="43">
                  <c:v>63.432798385620103</c:v>
                </c:pt>
                <c:pt idx="44">
                  <c:v>2.8478052699938382E-3</c:v>
                </c:pt>
                <c:pt idx="45">
                  <c:v>0</c:v>
                </c:pt>
                <c:pt idx="46">
                  <c:v>3.5583115816116342</c:v>
                </c:pt>
                <c:pt idx="47">
                  <c:v>1.1033578515052791</c:v>
                </c:pt>
                <c:pt idx="48">
                  <c:v>0</c:v>
                </c:pt>
                <c:pt idx="49">
                  <c:v>24.69659996032712</c:v>
                </c:pt>
                <c:pt idx="50">
                  <c:v>83.113372802734489</c:v>
                </c:pt>
                <c:pt idx="51">
                  <c:v>66.707471847534094</c:v>
                </c:pt>
              </c:numCache>
            </c:numRef>
          </c:val>
        </c:ser>
        <c:ser>
          <c:idx val="2"/>
          <c:order val="2"/>
          <c:tx>
            <c:strRef>
              <c:f>'O3 Mortality OTR Chart S70'!$D$8</c:f>
              <c:strCache>
                <c:ptCount val="1"/>
                <c:pt idx="0">
                  <c:v> </c:v>
                </c:pt>
              </c:strCache>
            </c:strRef>
          </c:tx>
          <c:spPr>
            <a:solidFill>
              <a:schemeClr val="bg1"/>
            </a:solidFill>
            <a:ln>
              <a:solidFill>
                <a:schemeClr val="bg1"/>
              </a:solidFill>
            </a:ln>
            <a:effectLst/>
          </c:spPr>
          <c:invertIfNegative val="0"/>
          <c:cat>
            <c:multiLvlStrRef>
              <c:f>'O3 Mortality OTR Chart S70'!$A$9:$A$73</c:f>
              <c:multiLvlStrCache>
                <c:ptCount val="52"/>
                <c:lvl>
                  <c:pt idx="0">
                    <c:v>2013</c:v>
                  </c:pt>
                  <c:pt idx="1">
                    <c:v>2014</c:v>
                  </c:pt>
                  <c:pt idx="2">
                    <c:v>2015</c:v>
                  </c:pt>
                  <c:pt idx="3">
                    <c:v>2016</c:v>
                  </c:pt>
                  <c:pt idx="4">
                    <c:v>2013</c:v>
                  </c:pt>
                  <c:pt idx="5">
                    <c:v>2014</c:v>
                  </c:pt>
                  <c:pt idx="6">
                    <c:v>2015</c:v>
                  </c:pt>
                  <c:pt idx="7">
                    <c:v>2016</c:v>
                  </c:pt>
                  <c:pt idx="8">
                    <c:v>2013</c:v>
                  </c:pt>
                  <c:pt idx="9">
                    <c:v>2014</c:v>
                  </c:pt>
                  <c:pt idx="10">
                    <c:v>2015</c:v>
                  </c:pt>
                  <c:pt idx="11">
                    <c:v>2016</c:v>
                  </c:pt>
                  <c:pt idx="12">
                    <c:v>2013</c:v>
                  </c:pt>
                  <c:pt idx="13">
                    <c:v>2014</c:v>
                  </c:pt>
                  <c:pt idx="14">
                    <c:v>2015</c:v>
                  </c:pt>
                  <c:pt idx="15">
                    <c:v>2016</c:v>
                  </c:pt>
                  <c:pt idx="16">
                    <c:v>2013</c:v>
                  </c:pt>
                  <c:pt idx="17">
                    <c:v>2014</c:v>
                  </c:pt>
                  <c:pt idx="18">
                    <c:v>2015</c:v>
                  </c:pt>
                  <c:pt idx="19">
                    <c:v>2016</c:v>
                  </c:pt>
                  <c:pt idx="20">
                    <c:v>2013</c:v>
                  </c:pt>
                  <c:pt idx="21">
                    <c:v>2014</c:v>
                  </c:pt>
                  <c:pt idx="22">
                    <c:v>2015</c:v>
                  </c:pt>
                  <c:pt idx="23">
                    <c:v>2016</c:v>
                  </c:pt>
                  <c:pt idx="24">
                    <c:v>2013</c:v>
                  </c:pt>
                  <c:pt idx="25">
                    <c:v>2014</c:v>
                  </c:pt>
                  <c:pt idx="26">
                    <c:v>2015</c:v>
                  </c:pt>
                  <c:pt idx="27">
                    <c:v>2016</c:v>
                  </c:pt>
                  <c:pt idx="28">
                    <c:v>2013</c:v>
                  </c:pt>
                  <c:pt idx="29">
                    <c:v>2014</c:v>
                  </c:pt>
                  <c:pt idx="30">
                    <c:v>2015</c:v>
                  </c:pt>
                  <c:pt idx="31">
                    <c:v>2016</c:v>
                  </c:pt>
                  <c:pt idx="32">
                    <c:v>2013</c:v>
                  </c:pt>
                  <c:pt idx="33">
                    <c:v>2014</c:v>
                  </c:pt>
                  <c:pt idx="34">
                    <c:v>2015</c:v>
                  </c:pt>
                  <c:pt idx="35">
                    <c:v>2016</c:v>
                  </c:pt>
                  <c:pt idx="36">
                    <c:v>2013</c:v>
                  </c:pt>
                  <c:pt idx="37">
                    <c:v>2014</c:v>
                  </c:pt>
                  <c:pt idx="38">
                    <c:v>2015</c:v>
                  </c:pt>
                  <c:pt idx="39">
                    <c:v>2016</c:v>
                  </c:pt>
                  <c:pt idx="40">
                    <c:v>2013</c:v>
                  </c:pt>
                  <c:pt idx="41">
                    <c:v>2014</c:v>
                  </c:pt>
                  <c:pt idx="42">
                    <c:v>2015</c:v>
                  </c:pt>
                  <c:pt idx="43">
                    <c:v>2016</c:v>
                  </c:pt>
                  <c:pt idx="44">
                    <c:v>2013</c:v>
                  </c:pt>
                  <c:pt idx="45">
                    <c:v>2014</c:v>
                  </c:pt>
                  <c:pt idx="46">
                    <c:v>2015</c:v>
                  </c:pt>
                  <c:pt idx="47">
                    <c:v>2016</c:v>
                  </c:pt>
                  <c:pt idx="48">
                    <c:v>2013</c:v>
                  </c:pt>
                  <c:pt idx="49">
                    <c:v>2014</c:v>
                  </c:pt>
                  <c:pt idx="50">
                    <c:v>2015</c:v>
                  </c:pt>
                  <c:pt idx="51">
                    <c:v>2016</c:v>
                  </c:pt>
                </c:lvl>
                <c:lvl>
                  <c:pt idx="0">
                    <c:v>CT</c:v>
                  </c:pt>
                  <c:pt idx="4">
                    <c:v>DE</c:v>
                  </c:pt>
                  <c:pt idx="8">
                    <c:v>DC</c:v>
                  </c:pt>
                  <c:pt idx="12">
                    <c:v>ME</c:v>
                  </c:pt>
                  <c:pt idx="16">
                    <c:v>MD</c:v>
                  </c:pt>
                  <c:pt idx="20">
                    <c:v>MA</c:v>
                  </c:pt>
                  <c:pt idx="24">
                    <c:v>NH</c:v>
                  </c:pt>
                  <c:pt idx="28">
                    <c:v>NJ</c:v>
                  </c:pt>
                  <c:pt idx="32">
                    <c:v>NY</c:v>
                  </c:pt>
                  <c:pt idx="36">
                    <c:v>PA</c:v>
                  </c:pt>
                  <c:pt idx="40">
                    <c:v>RI</c:v>
                  </c:pt>
                  <c:pt idx="44">
                    <c:v>VT</c:v>
                  </c:pt>
                  <c:pt idx="48">
                    <c:v>VA-OTR</c:v>
                  </c:pt>
                </c:lvl>
              </c:multiLvlStrCache>
            </c:multiLvlStrRef>
          </c:cat>
          <c:val>
            <c:numRef>
              <c:f>'O3 Mortality OTR Chart S70'!$D$9:$D$73</c:f>
              <c:numCache>
                <c:formatCode>#,##0</c:formatCode>
                <c:ptCount val="52"/>
                <c:pt idx="0">
                  <c:v>59.474636077881399</c:v>
                </c:pt>
                <c:pt idx="1">
                  <c:v>52.586837768554403</c:v>
                </c:pt>
                <c:pt idx="2">
                  <c:v>73.099441528320412</c:v>
                </c:pt>
                <c:pt idx="3">
                  <c:v>73.309616088867017</c:v>
                </c:pt>
                <c:pt idx="4">
                  <c:v>4.0328340530395401</c:v>
                </c:pt>
                <c:pt idx="5">
                  <c:v>5.268863677978481</c:v>
                </c:pt>
                <c:pt idx="6">
                  <c:v>12.370674133300739</c:v>
                </c:pt>
                <c:pt idx="7">
                  <c:v>14.30308341979976</c:v>
                </c:pt>
                <c:pt idx="8">
                  <c:v>3.9874546229839394E-2</c:v>
                </c:pt>
                <c:pt idx="9">
                  <c:v>1.935579538345342</c:v>
                </c:pt>
                <c:pt idx="10">
                  <c:v>9.0772600173950391</c:v>
                </c:pt>
                <c:pt idx="11">
                  <c:v>5.7261118888855398</c:v>
                </c:pt>
                <c:pt idx="12">
                  <c:v>3.9310231208801301</c:v>
                </c:pt>
                <c:pt idx="13">
                  <c:v>0</c:v>
                </c:pt>
                <c:pt idx="14">
                  <c:v>0.15571783483028381</c:v>
                </c:pt>
                <c:pt idx="15">
                  <c:v>0</c:v>
                </c:pt>
                <c:pt idx="16">
                  <c:v>23.330608367919798</c:v>
                </c:pt>
                <c:pt idx="17">
                  <c:v>12.06616973876954</c:v>
                </c:pt>
                <c:pt idx="18">
                  <c:v>109.87958526611379</c:v>
                </c:pt>
                <c:pt idx="19">
                  <c:v>119.07312774658222</c:v>
                </c:pt>
                <c:pt idx="20">
                  <c:v>59.401111602782805</c:v>
                </c:pt>
                <c:pt idx="21">
                  <c:v>3.2015421390533501</c:v>
                </c:pt>
                <c:pt idx="22">
                  <c:v>23.624956130981499</c:v>
                </c:pt>
                <c:pt idx="23">
                  <c:v>51.899055480956996</c:v>
                </c:pt>
                <c:pt idx="24">
                  <c:v>0.34700599312782204</c:v>
                </c:pt>
                <c:pt idx="25">
                  <c:v>0</c:v>
                </c:pt>
                <c:pt idx="26">
                  <c:v>1.154309034347532</c:v>
                </c:pt>
                <c:pt idx="27">
                  <c:v>0.28920778632163907</c:v>
                </c:pt>
                <c:pt idx="28">
                  <c:v>105.43405151367182</c:v>
                </c:pt>
                <c:pt idx="29">
                  <c:v>71.34404754638679</c:v>
                </c:pt>
                <c:pt idx="30">
                  <c:v>179.33164978027401</c:v>
                </c:pt>
                <c:pt idx="31">
                  <c:v>152.08372497558616</c:v>
                </c:pt>
                <c:pt idx="32">
                  <c:v>156.40447998046861</c:v>
                </c:pt>
                <c:pt idx="33">
                  <c:v>91.526260375976392</c:v>
                </c:pt>
                <c:pt idx="34">
                  <c:v>226.66174316406301</c:v>
                </c:pt>
                <c:pt idx="35">
                  <c:v>192.61000061035142</c:v>
                </c:pt>
                <c:pt idx="36">
                  <c:v>77.781929016112983</c:v>
                </c:pt>
                <c:pt idx="37">
                  <c:v>73.411247253418409</c:v>
                </c:pt>
                <c:pt idx="38">
                  <c:v>177.25814819335898</c:v>
                </c:pt>
                <c:pt idx="39">
                  <c:v>199.50509643554682</c:v>
                </c:pt>
                <c:pt idx="40">
                  <c:v>17.525930404663058</c:v>
                </c:pt>
                <c:pt idx="41">
                  <c:v>0</c:v>
                </c:pt>
                <c:pt idx="42">
                  <c:v>20.6054801940918</c:v>
                </c:pt>
                <c:pt idx="43">
                  <c:v>21.3009357452393</c:v>
                </c:pt>
                <c:pt idx="44">
                  <c:v>9.4777590129524187E-4</c:v>
                </c:pt>
                <c:pt idx="45">
                  <c:v>0</c:v>
                </c:pt>
                <c:pt idx="46">
                  <c:v>1.1848953962326061</c:v>
                </c:pt>
                <c:pt idx="47">
                  <c:v>0.36768120527267506</c:v>
                </c:pt>
                <c:pt idx="48">
                  <c:v>0</c:v>
                </c:pt>
                <c:pt idx="49">
                  <c:v>8.2333812713622816</c:v>
                </c:pt>
                <c:pt idx="50">
                  <c:v>27.882217407226499</c:v>
                </c:pt>
                <c:pt idx="51">
                  <c:v>22.343210220336896</c:v>
                </c:pt>
              </c:numCache>
            </c:numRef>
          </c:val>
        </c:ser>
        <c:dLbls>
          <c:showLegendKey val="0"/>
          <c:showVal val="0"/>
          <c:showCatName val="0"/>
          <c:showSerName val="0"/>
          <c:showPercent val="0"/>
          <c:showBubbleSize val="0"/>
        </c:dLbls>
        <c:gapWidth val="500"/>
        <c:overlap val="100"/>
        <c:axId val="138688376"/>
        <c:axId val="138688768"/>
      </c:barChart>
      <c:lineChart>
        <c:grouping val="standard"/>
        <c:varyColors val="0"/>
        <c:ser>
          <c:idx val="0"/>
          <c:order val="0"/>
          <c:tx>
            <c:strRef>
              <c:f>'O3 Mortality OTR Chart S70'!$B$8</c:f>
              <c:strCache>
                <c:ptCount val="1"/>
                <c:pt idx="0">
                  <c:v>Mean Mortality</c:v>
                </c:pt>
              </c:strCache>
            </c:strRef>
          </c:tx>
          <c:spPr>
            <a:ln w="28575" cap="rnd">
              <a:noFill/>
              <a:round/>
            </a:ln>
            <a:effectLst/>
          </c:spPr>
          <c:marker>
            <c:symbol val="circle"/>
            <c:size val="6"/>
            <c:spPr>
              <a:solidFill>
                <a:schemeClr val="tx1"/>
              </a:solidFill>
              <a:ln w="9525">
                <a:solidFill>
                  <a:schemeClr val="accent1"/>
                </a:solidFill>
              </a:ln>
              <a:effectLst/>
            </c:spPr>
          </c:marker>
          <c:cat>
            <c:multiLvlStrRef>
              <c:f>'O3 Mortality OTR Chart S70'!$A$9:$A$73</c:f>
              <c:multiLvlStrCache>
                <c:ptCount val="52"/>
                <c:lvl>
                  <c:pt idx="0">
                    <c:v>2013</c:v>
                  </c:pt>
                  <c:pt idx="1">
                    <c:v>2014</c:v>
                  </c:pt>
                  <c:pt idx="2">
                    <c:v>2015</c:v>
                  </c:pt>
                  <c:pt idx="3">
                    <c:v>2016</c:v>
                  </c:pt>
                  <c:pt idx="4">
                    <c:v>2013</c:v>
                  </c:pt>
                  <c:pt idx="5">
                    <c:v>2014</c:v>
                  </c:pt>
                  <c:pt idx="6">
                    <c:v>2015</c:v>
                  </c:pt>
                  <c:pt idx="7">
                    <c:v>2016</c:v>
                  </c:pt>
                  <c:pt idx="8">
                    <c:v>2013</c:v>
                  </c:pt>
                  <c:pt idx="9">
                    <c:v>2014</c:v>
                  </c:pt>
                  <c:pt idx="10">
                    <c:v>2015</c:v>
                  </c:pt>
                  <c:pt idx="11">
                    <c:v>2016</c:v>
                  </c:pt>
                  <c:pt idx="12">
                    <c:v>2013</c:v>
                  </c:pt>
                  <c:pt idx="13">
                    <c:v>2014</c:v>
                  </c:pt>
                  <c:pt idx="14">
                    <c:v>2015</c:v>
                  </c:pt>
                  <c:pt idx="15">
                    <c:v>2016</c:v>
                  </c:pt>
                  <c:pt idx="16">
                    <c:v>2013</c:v>
                  </c:pt>
                  <c:pt idx="17">
                    <c:v>2014</c:v>
                  </c:pt>
                  <c:pt idx="18">
                    <c:v>2015</c:v>
                  </c:pt>
                  <c:pt idx="19">
                    <c:v>2016</c:v>
                  </c:pt>
                  <c:pt idx="20">
                    <c:v>2013</c:v>
                  </c:pt>
                  <c:pt idx="21">
                    <c:v>2014</c:v>
                  </c:pt>
                  <c:pt idx="22">
                    <c:v>2015</c:v>
                  </c:pt>
                  <c:pt idx="23">
                    <c:v>2016</c:v>
                  </c:pt>
                  <c:pt idx="24">
                    <c:v>2013</c:v>
                  </c:pt>
                  <c:pt idx="25">
                    <c:v>2014</c:v>
                  </c:pt>
                  <c:pt idx="26">
                    <c:v>2015</c:v>
                  </c:pt>
                  <c:pt idx="27">
                    <c:v>2016</c:v>
                  </c:pt>
                  <c:pt idx="28">
                    <c:v>2013</c:v>
                  </c:pt>
                  <c:pt idx="29">
                    <c:v>2014</c:v>
                  </c:pt>
                  <c:pt idx="30">
                    <c:v>2015</c:v>
                  </c:pt>
                  <c:pt idx="31">
                    <c:v>2016</c:v>
                  </c:pt>
                  <c:pt idx="32">
                    <c:v>2013</c:v>
                  </c:pt>
                  <c:pt idx="33">
                    <c:v>2014</c:v>
                  </c:pt>
                  <c:pt idx="34">
                    <c:v>2015</c:v>
                  </c:pt>
                  <c:pt idx="35">
                    <c:v>2016</c:v>
                  </c:pt>
                  <c:pt idx="36">
                    <c:v>2013</c:v>
                  </c:pt>
                  <c:pt idx="37">
                    <c:v>2014</c:v>
                  </c:pt>
                  <c:pt idx="38">
                    <c:v>2015</c:v>
                  </c:pt>
                  <c:pt idx="39">
                    <c:v>2016</c:v>
                  </c:pt>
                  <c:pt idx="40">
                    <c:v>2013</c:v>
                  </c:pt>
                  <c:pt idx="41">
                    <c:v>2014</c:v>
                  </c:pt>
                  <c:pt idx="42">
                    <c:v>2015</c:v>
                  </c:pt>
                  <c:pt idx="43">
                    <c:v>2016</c:v>
                  </c:pt>
                  <c:pt idx="44">
                    <c:v>2013</c:v>
                  </c:pt>
                  <c:pt idx="45">
                    <c:v>2014</c:v>
                  </c:pt>
                  <c:pt idx="46">
                    <c:v>2015</c:v>
                  </c:pt>
                  <c:pt idx="47">
                    <c:v>2016</c:v>
                  </c:pt>
                  <c:pt idx="48">
                    <c:v>2013</c:v>
                  </c:pt>
                  <c:pt idx="49">
                    <c:v>2014</c:v>
                  </c:pt>
                  <c:pt idx="50">
                    <c:v>2015</c:v>
                  </c:pt>
                  <c:pt idx="51">
                    <c:v>2016</c:v>
                  </c:pt>
                </c:lvl>
                <c:lvl>
                  <c:pt idx="0">
                    <c:v>CT</c:v>
                  </c:pt>
                  <c:pt idx="4">
                    <c:v>DE</c:v>
                  </c:pt>
                  <c:pt idx="8">
                    <c:v>DC</c:v>
                  </c:pt>
                  <c:pt idx="12">
                    <c:v>ME</c:v>
                  </c:pt>
                  <c:pt idx="16">
                    <c:v>MD</c:v>
                  </c:pt>
                  <c:pt idx="20">
                    <c:v>MA</c:v>
                  </c:pt>
                  <c:pt idx="24">
                    <c:v>NH</c:v>
                  </c:pt>
                  <c:pt idx="28">
                    <c:v>NJ</c:v>
                  </c:pt>
                  <c:pt idx="32">
                    <c:v>NY</c:v>
                  </c:pt>
                  <c:pt idx="36">
                    <c:v>PA</c:v>
                  </c:pt>
                  <c:pt idx="40">
                    <c:v>RI</c:v>
                  </c:pt>
                  <c:pt idx="44">
                    <c:v>VT</c:v>
                  </c:pt>
                  <c:pt idx="48">
                    <c:v>VA-OTR</c:v>
                  </c:pt>
                </c:lvl>
              </c:multiLvlStrCache>
            </c:multiLvlStrRef>
          </c:cat>
          <c:val>
            <c:numRef>
              <c:f>'O3 Mortality OTR Chart S70'!$B$9:$B$73</c:f>
              <c:numCache>
                <c:formatCode>#,##0</c:formatCode>
                <c:ptCount val="52"/>
                <c:pt idx="0">
                  <c:v>118.406127929688</c:v>
                </c:pt>
                <c:pt idx="1">
                  <c:v>104.702842712402</c:v>
                </c:pt>
                <c:pt idx="2">
                  <c:v>145.38935852050801</c:v>
                </c:pt>
                <c:pt idx="3">
                  <c:v>145.76931762695301</c:v>
                </c:pt>
                <c:pt idx="4">
                  <c:v>8.0509824752807599</c:v>
                </c:pt>
                <c:pt idx="5">
                  <c:v>10.510250091552701</c:v>
                </c:pt>
                <c:pt idx="6">
                  <c:v>24.657711029052699</c:v>
                </c:pt>
                <c:pt idx="7">
                  <c:v>28.481651306152301</c:v>
                </c:pt>
                <c:pt idx="8">
                  <c:v>7.9775482416152996E-2</c:v>
                </c:pt>
                <c:pt idx="9">
                  <c:v>3.87149310112</c:v>
                </c:pt>
                <c:pt idx="10">
                  <c:v>18.051082611083999</c:v>
                </c:pt>
                <c:pt idx="11">
                  <c:v>11.4133396148682</c:v>
                </c:pt>
                <c:pt idx="12">
                  <c:v>7.8576421737670898</c:v>
                </c:pt>
                <c:pt idx="13">
                  <c:v>0</c:v>
                </c:pt>
                <c:pt idx="14">
                  <c:v>0.31177160143852201</c:v>
                </c:pt>
                <c:pt idx="15">
                  <c:v>0</c:v>
                </c:pt>
                <c:pt idx="16">
                  <c:v>46.631198883056598</c:v>
                </c:pt>
                <c:pt idx="17">
                  <c:v>24.0992546081543</c:v>
                </c:pt>
                <c:pt idx="18">
                  <c:v>218.59632873535199</c:v>
                </c:pt>
                <c:pt idx="19">
                  <c:v>236.89228820800801</c:v>
                </c:pt>
                <c:pt idx="20">
                  <c:v>118.452110290527</c:v>
                </c:pt>
                <c:pt idx="21">
                  <c:v>6.3983969688415501</c:v>
                </c:pt>
                <c:pt idx="22">
                  <c:v>47.158950805664098</c:v>
                </c:pt>
                <c:pt idx="23">
                  <c:v>103.455108642578</c:v>
                </c:pt>
                <c:pt idx="24">
                  <c:v>0.69482576847076405</c:v>
                </c:pt>
                <c:pt idx="25">
                  <c:v>0</c:v>
                </c:pt>
                <c:pt idx="26">
                  <c:v>2.3095059394836399</c:v>
                </c:pt>
                <c:pt idx="27">
                  <c:v>0.57879233360290505</c:v>
                </c:pt>
                <c:pt idx="28">
                  <c:v>210.18704223632801</c:v>
                </c:pt>
                <c:pt idx="29">
                  <c:v>142.32516479492199</c:v>
                </c:pt>
                <c:pt idx="30">
                  <c:v>356.60803222656301</c:v>
                </c:pt>
                <c:pt idx="31">
                  <c:v>302.67889404296898</c:v>
                </c:pt>
                <c:pt idx="32">
                  <c:v>311.61624145507801</c:v>
                </c:pt>
                <c:pt idx="33">
                  <c:v>182.55133056640599</c:v>
                </c:pt>
                <c:pt idx="34">
                  <c:v>451.03933715820301</c:v>
                </c:pt>
                <c:pt idx="35">
                  <c:v>383.72756958007801</c:v>
                </c:pt>
                <c:pt idx="36">
                  <c:v>155.26078796386699</c:v>
                </c:pt>
                <c:pt idx="37">
                  <c:v>146.34924316406301</c:v>
                </c:pt>
                <c:pt idx="38">
                  <c:v>353.08895874023398</c:v>
                </c:pt>
                <c:pt idx="39">
                  <c:v>397.49710083007801</c:v>
                </c:pt>
                <c:pt idx="40">
                  <c:v>34.899078369140597</c:v>
                </c:pt>
                <c:pt idx="41">
                  <c:v>0</c:v>
                </c:pt>
                <c:pt idx="42">
                  <c:v>40.9996147155762</c:v>
                </c:pt>
                <c:pt idx="43">
                  <c:v>42.366867065429702</c:v>
                </c:pt>
                <c:pt idx="44">
                  <c:v>1.8977905856445399E-3</c:v>
                </c:pt>
                <c:pt idx="45">
                  <c:v>0</c:v>
                </c:pt>
                <c:pt idx="46">
                  <c:v>2.37160348892212</c:v>
                </c:pt>
                <c:pt idx="47">
                  <c:v>0.73551952838897705</c:v>
                </c:pt>
                <c:pt idx="48">
                  <c:v>0</c:v>
                </c:pt>
                <c:pt idx="49">
                  <c:v>16.464990615844702</c:v>
                </c:pt>
                <c:pt idx="50">
                  <c:v>55.497795104980497</c:v>
                </c:pt>
                <c:pt idx="51">
                  <c:v>44.525341033935497</c:v>
                </c:pt>
              </c:numCache>
            </c:numRef>
          </c:val>
          <c:smooth val="0"/>
        </c:ser>
        <c:dLbls>
          <c:showLegendKey val="0"/>
          <c:showVal val="0"/>
          <c:showCatName val="0"/>
          <c:showSerName val="0"/>
          <c:showPercent val="0"/>
          <c:showBubbleSize val="0"/>
        </c:dLbls>
        <c:marker val="1"/>
        <c:smooth val="0"/>
        <c:axId val="138688376"/>
        <c:axId val="138688768"/>
      </c:lineChart>
      <c:catAx>
        <c:axId val="138688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38688768"/>
        <c:crosses val="autoZero"/>
        <c:auto val="1"/>
        <c:lblAlgn val="ctr"/>
        <c:lblOffset val="100"/>
        <c:noMultiLvlLbl val="0"/>
      </c:catAx>
      <c:valAx>
        <c:axId val="138688768"/>
        <c:scaling>
          <c:orientation val="minMax"/>
          <c:max val="7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8688376"/>
        <c:crosses val="autoZero"/>
        <c:crossBetween val="between"/>
      </c:valAx>
      <c:spPr>
        <a:noFill/>
        <a:ln>
          <a:noFill/>
        </a:ln>
        <a:effectLst/>
      </c:spPr>
    </c:plotArea>
    <c:legend>
      <c:legendPos val="t"/>
      <c:layout>
        <c:manualLayout>
          <c:xMode val="edge"/>
          <c:yMode val="edge"/>
          <c:x val="7.8151793525809282E-2"/>
          <c:y val="4.9148149185978075E-2"/>
          <c:w val="0.44632815128878123"/>
          <c:h val="0.10595334939857665"/>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[BenMap Rollback Analysis Results - v1.3.52.xlsx]O3 Mortality OTR Chart S65!PivotTable1</c:name>
    <c:fmtId val="-1"/>
  </c:pivotSource>
  <c:chart>
    <c:autoTitleDeleted val="0"/>
    <c:pivotFmts>
      <c:pivotFmt>
        <c:idx val="0"/>
        <c:spPr>
          <a:solidFill>
            <a:schemeClr val="accent1"/>
          </a:solidFill>
          <a:ln w="28575" cap="rnd">
            <a:noFill/>
            <a:round/>
          </a:ln>
          <a:effectLst/>
        </c:spPr>
        <c:marker>
          <c:symbol val="circle"/>
          <c:size val="10"/>
          <c:spPr>
            <a:solidFill>
              <a:schemeClr val="tx1"/>
            </a:solidFill>
            <a:ln w="9525">
              <a:noFill/>
            </a:ln>
            <a:effectLst/>
          </c:spPr>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w="28575" cap="rnd">
            <a:noFill/>
            <a:round/>
          </a:ln>
          <a:effectLst/>
        </c:spPr>
        <c:marker>
          <c:symbol val="circle"/>
          <c:size val="7"/>
          <c:spPr>
            <a:solidFill>
              <a:schemeClr val="tx1"/>
            </a:solidFill>
            <a:ln w="9525">
              <a:noFill/>
            </a:ln>
            <a:effectLst/>
          </c:spPr>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bg1"/>
          </a:solidFill>
          <a:ln>
            <a:solidFill>
              <a:schemeClr val="bg1"/>
            </a:solidFill>
          </a:ln>
          <a:effectLst/>
        </c:spPr>
        <c:marker>
          <c:symbol val="none"/>
        </c:marker>
      </c:pivotFmt>
      <c:pivotFmt>
        <c:idx val="11"/>
        <c:spPr>
          <a:solidFill>
            <a:schemeClr val="accent1"/>
          </a:solidFill>
          <a:ln w="28575" cap="rnd">
            <a:noFill/>
            <a:round/>
          </a:ln>
          <a:effectLst/>
        </c:spPr>
        <c:marker>
          <c:symbol val="circle"/>
          <c:size val="6"/>
          <c:spPr>
            <a:solidFill>
              <a:schemeClr val="tx1"/>
            </a:solidFill>
            <a:ln w="9525">
              <a:solidFill>
                <a:schemeClr val="accent1"/>
              </a:solidFill>
            </a:ln>
            <a:effectLst/>
          </c:spPr>
        </c:marker>
      </c:pivotFmt>
      <c:pivotFmt>
        <c:idx val="12"/>
        <c:spPr>
          <a:solidFill>
            <a:schemeClr val="accent1">
              <a:lumMod val="40000"/>
              <a:lumOff val="60000"/>
            </a:schemeClr>
          </a:solidFill>
          <a:ln>
            <a:solidFill>
              <a:schemeClr val="tx1"/>
            </a:solidFill>
          </a:ln>
          <a:effectLst/>
        </c:spPr>
        <c:marker>
          <c:symbol val="none"/>
        </c:marker>
      </c:pivotFmt>
      <c:pivotFmt>
        <c:idx val="13"/>
        <c:spPr>
          <a:solidFill>
            <a:schemeClr val="accent1"/>
          </a:solidFill>
          <a:ln w="28575" cap="rnd">
            <a:noFill/>
            <a:round/>
          </a:ln>
          <a:effectLst/>
        </c:spPr>
        <c:marker>
          <c:symbol val="circle"/>
          <c:size val="6"/>
          <c:spPr>
            <a:solidFill>
              <a:schemeClr val="tx1"/>
            </a:solidFill>
            <a:ln w="9525">
              <a:solidFill>
                <a:schemeClr val="accent1"/>
              </a:solidFill>
            </a:ln>
            <a:effectLst/>
          </c:spPr>
        </c:marker>
      </c:pivotFmt>
      <c:pivotFmt>
        <c:idx val="14"/>
        <c:spPr>
          <a:solidFill>
            <a:schemeClr val="bg1"/>
          </a:solidFill>
          <a:ln>
            <a:solidFill>
              <a:schemeClr val="bg1"/>
            </a:solidFill>
          </a:ln>
          <a:effectLst/>
        </c:spPr>
        <c:marker>
          <c:symbol val="none"/>
        </c:marker>
      </c:pivotFmt>
      <c:pivotFmt>
        <c:idx val="15"/>
        <c:spPr>
          <a:solidFill>
            <a:schemeClr val="accent1"/>
          </a:solidFill>
          <a:ln>
            <a:solidFill>
              <a:schemeClr val="tx1"/>
            </a:solidFill>
          </a:ln>
          <a:effectLst/>
        </c:spPr>
        <c:marker>
          <c:symbol val="none"/>
        </c:marker>
      </c:pivotFmt>
      <c:pivotFmt>
        <c:idx val="16"/>
        <c:spPr>
          <a:solidFill>
            <a:schemeClr val="accent1">
              <a:lumMod val="40000"/>
              <a:lumOff val="60000"/>
            </a:schemeClr>
          </a:solidFill>
          <a:ln>
            <a:noFill/>
          </a:ln>
          <a:effectLst/>
        </c:spPr>
        <c:marker>
          <c:symbol val="none"/>
        </c:marker>
      </c:pivotFmt>
      <c:pivotFmt>
        <c:idx val="17"/>
        <c:spPr>
          <a:solidFill>
            <a:schemeClr val="bg1"/>
          </a:solidFill>
          <a:ln>
            <a:solidFill>
              <a:schemeClr val="bg1"/>
            </a:solidFill>
          </a:ln>
          <a:effectLst/>
        </c:spPr>
        <c:marker>
          <c:symbol val="none"/>
        </c:marker>
      </c:pivotFmt>
      <c:pivotFmt>
        <c:idx val="18"/>
        <c:spPr>
          <a:solidFill>
            <a:schemeClr val="accent1"/>
          </a:solidFill>
          <a:ln w="28575" cap="rnd">
            <a:noFill/>
            <a:round/>
          </a:ln>
          <a:effectLst/>
        </c:spPr>
        <c:marker>
          <c:symbol val="circle"/>
          <c:size val="6"/>
          <c:spPr>
            <a:solidFill>
              <a:schemeClr val="tx1"/>
            </a:solidFill>
            <a:ln w="9525">
              <a:solidFill>
                <a:schemeClr val="accent1"/>
              </a:solidFill>
            </a:ln>
            <a:effectLst/>
          </c:spPr>
        </c:marker>
      </c:pivotFmt>
      <c:pivotFmt>
        <c:idx val="19"/>
        <c:spPr>
          <a:solidFill>
            <a:schemeClr val="accent1"/>
          </a:solidFill>
          <a:ln w="25400">
            <a:noFill/>
          </a:ln>
          <a:effectLst/>
        </c:spPr>
        <c:marker>
          <c:symbol val="none"/>
        </c:marker>
      </c:pivotFmt>
      <c:pivotFmt>
        <c:idx val="20"/>
        <c:spPr>
          <a:solidFill>
            <a:schemeClr val="accent1">
              <a:lumMod val="40000"/>
              <a:lumOff val="60000"/>
            </a:schemeClr>
          </a:solidFill>
          <a:ln w="25400">
            <a:noFill/>
          </a:ln>
          <a:effectLst/>
        </c:spPr>
        <c:marker>
          <c:symbol val="none"/>
        </c:marker>
      </c:pivotFmt>
      <c:pivotFmt>
        <c:idx val="21"/>
        <c:spPr>
          <a:solidFill>
            <a:schemeClr val="bg1"/>
          </a:solidFill>
          <a:ln w="25400">
            <a:noFill/>
          </a:ln>
          <a:effectLst/>
        </c:spPr>
        <c:marker>
          <c:symbol val="none"/>
        </c:marker>
      </c:pivotFmt>
      <c:pivotFmt>
        <c:idx val="22"/>
        <c:spPr>
          <a:solidFill>
            <a:schemeClr val="accent1"/>
          </a:solidFill>
          <a:ln w="25400">
            <a:noFill/>
          </a:ln>
          <a:effectLst/>
        </c:spPr>
        <c:marker>
          <c:symbol val="none"/>
        </c:marker>
      </c:pivotFmt>
      <c:pivotFmt>
        <c:idx val="23"/>
        <c:spPr>
          <a:solidFill>
            <a:schemeClr val="accent1">
              <a:lumMod val="40000"/>
              <a:lumOff val="60000"/>
            </a:schemeClr>
          </a:solidFill>
          <a:ln w="25400">
            <a:noFill/>
          </a:ln>
          <a:effectLst/>
        </c:spPr>
        <c:marker>
          <c:symbol val="none"/>
        </c:marker>
      </c:pivotFmt>
      <c:pivotFmt>
        <c:idx val="24"/>
        <c:spPr>
          <a:solidFill>
            <a:schemeClr val="bg1"/>
          </a:solidFill>
          <a:ln w="25400">
            <a:noFill/>
          </a:ln>
          <a:effectLst/>
        </c:spPr>
        <c:marker>
          <c:symbol val="none"/>
        </c:marker>
      </c:pivotFmt>
      <c:pivotFmt>
        <c:idx val="25"/>
        <c:spPr>
          <a:solidFill>
            <a:schemeClr val="accent1"/>
          </a:solidFill>
          <a:ln w="25400">
            <a:noFill/>
          </a:ln>
          <a:effectLst/>
        </c:spPr>
        <c:marker>
          <c:symbol val="none"/>
        </c:marker>
      </c:pivotFmt>
      <c:pivotFmt>
        <c:idx val="26"/>
        <c:spPr>
          <a:solidFill>
            <a:schemeClr val="accent1">
              <a:lumMod val="40000"/>
              <a:lumOff val="60000"/>
            </a:schemeClr>
          </a:solidFill>
          <a:ln w="25400">
            <a:noFill/>
          </a:ln>
          <a:effectLst/>
        </c:spPr>
        <c:marker>
          <c:symbol val="none"/>
        </c:marker>
      </c:pivotFmt>
      <c:pivotFmt>
        <c:idx val="27"/>
        <c:spPr>
          <a:solidFill>
            <a:schemeClr val="bg1"/>
          </a:solidFill>
          <a:ln w="25400">
            <a:noFill/>
          </a:ln>
          <a:effectLst/>
        </c:spPr>
        <c:marker>
          <c:symbol val="none"/>
        </c:marker>
      </c:pivotFmt>
      <c:pivotFmt>
        <c:idx val="28"/>
        <c:spPr>
          <a:solidFill>
            <a:schemeClr val="accent1"/>
          </a:solidFill>
          <a:ln w="25400">
            <a:noFill/>
          </a:ln>
          <a:effectLst/>
        </c:spPr>
        <c:marker>
          <c:symbol val="none"/>
        </c:marker>
      </c:pivotFmt>
      <c:pivotFmt>
        <c:idx val="29"/>
        <c:spPr>
          <a:solidFill>
            <a:schemeClr val="accent1">
              <a:lumMod val="40000"/>
              <a:lumOff val="60000"/>
            </a:schemeClr>
          </a:solidFill>
          <a:ln w="25400">
            <a:noFill/>
          </a:ln>
          <a:effectLst/>
        </c:spPr>
        <c:marker>
          <c:symbol val="none"/>
        </c:marker>
      </c:pivotFmt>
      <c:pivotFmt>
        <c:idx val="30"/>
        <c:spPr>
          <a:solidFill>
            <a:schemeClr val="bg1"/>
          </a:solidFill>
          <a:ln w="25400">
            <a:noFill/>
          </a:ln>
          <a:effectLst/>
        </c:spPr>
        <c:marker>
          <c:symbol val="none"/>
        </c:marker>
      </c:pivotFmt>
      <c:pivotFmt>
        <c:idx val="31"/>
        <c:spPr>
          <a:solidFill>
            <a:schemeClr val="accent1"/>
          </a:solidFill>
          <a:ln w="25400">
            <a:noFill/>
          </a:ln>
          <a:effectLst/>
        </c:spPr>
        <c:marker>
          <c:symbol val="none"/>
        </c:marker>
      </c:pivotFmt>
      <c:pivotFmt>
        <c:idx val="32"/>
        <c:spPr>
          <a:solidFill>
            <a:schemeClr val="accent1">
              <a:lumMod val="40000"/>
              <a:lumOff val="60000"/>
            </a:schemeClr>
          </a:solidFill>
          <a:ln w="25400">
            <a:noFill/>
          </a:ln>
          <a:effectLst/>
        </c:spPr>
        <c:marker>
          <c:symbol val="none"/>
        </c:marker>
      </c:pivotFmt>
      <c:pivotFmt>
        <c:idx val="33"/>
        <c:spPr>
          <a:solidFill>
            <a:schemeClr val="bg1"/>
          </a:solidFill>
          <a:ln w="25400">
            <a:noFill/>
          </a:ln>
          <a:effectLst/>
        </c:spPr>
        <c:marker>
          <c:symbol val="none"/>
        </c:marker>
      </c:pivotFmt>
      <c:pivotFmt>
        <c:idx val="34"/>
        <c:spPr>
          <a:solidFill>
            <a:schemeClr val="accent1"/>
          </a:solidFill>
          <a:ln w="25400">
            <a:noFill/>
          </a:ln>
          <a:effectLst/>
        </c:spPr>
        <c:marker>
          <c:symbol val="none"/>
        </c:marker>
      </c:pivotFmt>
      <c:pivotFmt>
        <c:idx val="35"/>
        <c:spPr>
          <a:solidFill>
            <a:schemeClr val="accent1">
              <a:lumMod val="40000"/>
              <a:lumOff val="60000"/>
            </a:schemeClr>
          </a:solidFill>
          <a:ln w="25400">
            <a:noFill/>
          </a:ln>
          <a:effectLst/>
        </c:spPr>
        <c:marker>
          <c:symbol val="none"/>
        </c:marker>
      </c:pivotFmt>
      <c:pivotFmt>
        <c:idx val="36"/>
        <c:spPr>
          <a:solidFill>
            <a:schemeClr val="bg1"/>
          </a:solidFill>
          <a:ln w="25400">
            <a:noFill/>
          </a:ln>
          <a:effectLst/>
        </c:spPr>
        <c:marker>
          <c:symbol val="none"/>
        </c:marker>
      </c:pivotFmt>
      <c:pivotFmt>
        <c:idx val="37"/>
        <c:spPr>
          <a:solidFill>
            <a:schemeClr val="accent1"/>
          </a:solidFill>
          <a:ln w="25400">
            <a:noFill/>
          </a:ln>
          <a:effectLst/>
        </c:spPr>
        <c:marker>
          <c:symbol val="none"/>
        </c:marker>
      </c:pivotFmt>
      <c:pivotFmt>
        <c:idx val="38"/>
        <c:spPr>
          <a:solidFill>
            <a:schemeClr val="accent1">
              <a:lumMod val="40000"/>
              <a:lumOff val="60000"/>
            </a:schemeClr>
          </a:solidFill>
          <a:ln w="25400">
            <a:noFill/>
          </a:ln>
          <a:effectLst/>
        </c:spPr>
        <c:marker>
          <c:symbol val="none"/>
        </c:marker>
      </c:pivotFmt>
      <c:pivotFmt>
        <c:idx val="39"/>
        <c:spPr>
          <a:solidFill>
            <a:schemeClr val="bg1"/>
          </a:solidFill>
          <a:ln w="25400">
            <a:noFill/>
          </a:ln>
          <a:effectLst/>
        </c:spPr>
        <c:marker>
          <c:symbol val="none"/>
        </c:marker>
      </c:pivotFmt>
      <c:pivotFmt>
        <c:idx val="40"/>
        <c:spPr>
          <a:solidFill>
            <a:schemeClr val="accent1"/>
          </a:solidFill>
          <a:ln w="25400">
            <a:noFill/>
          </a:ln>
          <a:effectLst/>
        </c:spPr>
        <c:marker>
          <c:symbol val="none"/>
        </c:marker>
      </c:pivotFmt>
      <c:pivotFmt>
        <c:idx val="41"/>
        <c:spPr>
          <a:solidFill>
            <a:schemeClr val="accent1">
              <a:lumMod val="40000"/>
              <a:lumOff val="60000"/>
            </a:schemeClr>
          </a:solidFill>
          <a:ln w="25400">
            <a:noFill/>
          </a:ln>
          <a:effectLst/>
        </c:spPr>
        <c:marker>
          <c:symbol val="none"/>
        </c:marker>
      </c:pivotFmt>
      <c:pivotFmt>
        <c:idx val="42"/>
        <c:spPr>
          <a:solidFill>
            <a:schemeClr val="bg1"/>
          </a:solidFill>
          <a:ln w="25400">
            <a:noFill/>
          </a:ln>
          <a:effectLst/>
        </c:spPr>
        <c:marker>
          <c:symbol val="none"/>
        </c:marker>
      </c:pivotFmt>
      <c:pivotFmt>
        <c:idx val="43"/>
        <c:spPr>
          <a:solidFill>
            <a:schemeClr val="accent1"/>
          </a:solidFill>
          <a:ln w="25400">
            <a:noFill/>
          </a:ln>
          <a:effectLst/>
        </c:spPr>
        <c:marker>
          <c:symbol val="none"/>
        </c:marker>
      </c:pivotFmt>
      <c:pivotFmt>
        <c:idx val="44"/>
        <c:spPr>
          <a:solidFill>
            <a:schemeClr val="accent1">
              <a:lumMod val="40000"/>
              <a:lumOff val="60000"/>
            </a:schemeClr>
          </a:solidFill>
          <a:ln w="25400">
            <a:noFill/>
          </a:ln>
          <a:effectLst/>
        </c:spPr>
        <c:marker>
          <c:symbol val="none"/>
        </c:marker>
      </c:pivotFmt>
      <c:pivotFmt>
        <c:idx val="45"/>
        <c:spPr>
          <a:solidFill>
            <a:schemeClr val="bg1"/>
          </a:solidFill>
          <a:ln w="25400">
            <a:noFill/>
          </a:ln>
          <a:effectLst/>
        </c:spPr>
        <c:marker>
          <c:symbol val="none"/>
        </c:marker>
      </c:pivotFmt>
      <c:pivotFmt>
        <c:idx val="46"/>
        <c:spPr>
          <a:solidFill>
            <a:schemeClr val="accent1"/>
          </a:solidFill>
          <a:ln w="25400">
            <a:noFill/>
          </a:ln>
          <a:effectLst/>
        </c:spPr>
        <c:marker>
          <c:symbol val="none"/>
        </c:marker>
      </c:pivotFmt>
      <c:pivotFmt>
        <c:idx val="47"/>
        <c:spPr>
          <a:solidFill>
            <a:schemeClr val="accent1">
              <a:lumMod val="40000"/>
              <a:lumOff val="60000"/>
            </a:schemeClr>
          </a:solidFill>
          <a:ln w="25400">
            <a:noFill/>
          </a:ln>
          <a:effectLst/>
        </c:spPr>
        <c:marker>
          <c:symbol val="none"/>
        </c:marker>
      </c:pivotFmt>
      <c:pivotFmt>
        <c:idx val="48"/>
        <c:spPr>
          <a:solidFill>
            <a:schemeClr val="bg1"/>
          </a:solidFill>
          <a:ln w="25400">
            <a:noFill/>
          </a:ln>
          <a:effectLst/>
        </c:spPr>
        <c:marker>
          <c:symbol val="none"/>
        </c:marker>
      </c:pivotFmt>
      <c:pivotFmt>
        <c:idx val="49"/>
        <c:spPr>
          <a:solidFill>
            <a:schemeClr val="accent1"/>
          </a:solidFill>
          <a:ln w="25400">
            <a:noFill/>
          </a:ln>
          <a:effectLst/>
        </c:spPr>
        <c:marker>
          <c:symbol val="none"/>
        </c:marker>
      </c:pivotFmt>
      <c:pivotFmt>
        <c:idx val="50"/>
        <c:spPr>
          <a:solidFill>
            <a:schemeClr val="accent1">
              <a:lumMod val="40000"/>
              <a:lumOff val="60000"/>
            </a:schemeClr>
          </a:solidFill>
          <a:ln w="25400">
            <a:noFill/>
          </a:ln>
          <a:effectLst/>
        </c:spPr>
        <c:marker>
          <c:symbol val="none"/>
        </c:marker>
      </c:pivotFmt>
      <c:pivotFmt>
        <c:idx val="51"/>
        <c:spPr>
          <a:solidFill>
            <a:schemeClr val="bg1"/>
          </a:solidFill>
          <a:ln w="25400">
            <a:noFill/>
          </a:ln>
          <a:effectLst/>
        </c:spPr>
        <c:marker>
          <c:symbol val="none"/>
        </c:marker>
      </c:pivotFmt>
      <c:pivotFmt>
        <c:idx val="52"/>
        <c:spPr>
          <a:solidFill>
            <a:schemeClr val="accent1"/>
          </a:solidFill>
          <a:ln w="25400">
            <a:noFill/>
          </a:ln>
          <a:effectLst/>
        </c:spPr>
        <c:marker>
          <c:symbol val="none"/>
        </c:marker>
      </c:pivotFmt>
      <c:pivotFmt>
        <c:idx val="53"/>
        <c:spPr>
          <a:solidFill>
            <a:schemeClr val="accent1">
              <a:lumMod val="40000"/>
              <a:lumOff val="60000"/>
            </a:schemeClr>
          </a:solidFill>
          <a:ln w="25400">
            <a:noFill/>
          </a:ln>
          <a:effectLst/>
        </c:spPr>
        <c:marker>
          <c:symbol val="none"/>
        </c:marker>
      </c:pivotFmt>
      <c:pivotFmt>
        <c:idx val="54"/>
        <c:spPr>
          <a:solidFill>
            <a:schemeClr val="bg1"/>
          </a:solidFill>
          <a:ln w="25400">
            <a:noFill/>
          </a:ln>
          <a:effectLst/>
        </c:spPr>
        <c:marker>
          <c:symbol val="none"/>
        </c:marker>
      </c:pivotFmt>
      <c:pivotFmt>
        <c:idx val="55"/>
        <c:spPr>
          <a:solidFill>
            <a:schemeClr val="accent1">
              <a:lumMod val="40000"/>
              <a:lumOff val="60000"/>
            </a:schemeClr>
          </a:solidFill>
          <a:ln>
            <a:noFill/>
          </a:ln>
          <a:effectLst/>
        </c:spPr>
        <c:marker>
          <c:symbol val="none"/>
        </c:marker>
      </c:pivotFmt>
      <c:pivotFmt>
        <c:idx val="56"/>
        <c:spPr>
          <a:solidFill>
            <a:schemeClr val="bg1"/>
          </a:solidFill>
          <a:ln>
            <a:solidFill>
              <a:schemeClr val="bg1"/>
            </a:solidFill>
          </a:ln>
          <a:effectLst/>
        </c:spPr>
        <c:marker>
          <c:symbol val="none"/>
        </c:marker>
      </c:pivotFmt>
      <c:pivotFmt>
        <c:idx val="57"/>
        <c:spPr>
          <a:solidFill>
            <a:schemeClr val="accent1"/>
          </a:solidFill>
          <a:ln w="28575" cap="rnd">
            <a:noFill/>
            <a:round/>
          </a:ln>
          <a:effectLst/>
        </c:spPr>
        <c:marker>
          <c:symbol val="circle"/>
          <c:size val="6"/>
          <c:spPr>
            <a:solidFill>
              <a:schemeClr val="tx1"/>
            </a:solidFill>
            <a:ln w="9525">
              <a:solidFill>
                <a:schemeClr val="accent1"/>
              </a:solidFill>
            </a:ln>
            <a:effectLst/>
          </c:spPr>
        </c:marker>
      </c:pivotFmt>
      <c:pivotFmt>
        <c:idx val="58"/>
        <c:spPr>
          <a:solidFill>
            <a:schemeClr val="accent1">
              <a:lumMod val="40000"/>
              <a:lumOff val="60000"/>
            </a:schemeClr>
          </a:solidFill>
          <a:ln>
            <a:noFill/>
          </a:ln>
          <a:effectLst/>
        </c:spPr>
        <c:marker>
          <c:symbol val="none"/>
        </c:marker>
      </c:pivotFmt>
      <c:pivotFmt>
        <c:idx val="59"/>
        <c:spPr>
          <a:solidFill>
            <a:schemeClr val="bg1"/>
          </a:solidFill>
          <a:ln>
            <a:solidFill>
              <a:schemeClr val="bg1"/>
            </a:solidFill>
          </a:ln>
          <a:effectLst/>
        </c:spPr>
        <c:marker>
          <c:symbol val="none"/>
        </c:marker>
      </c:pivotFmt>
      <c:pivotFmt>
        <c:idx val="60"/>
        <c:spPr>
          <a:solidFill>
            <a:schemeClr val="accent1"/>
          </a:solidFill>
          <a:ln w="28575" cap="rnd">
            <a:noFill/>
            <a:round/>
          </a:ln>
          <a:effectLst/>
        </c:spPr>
        <c:marker>
          <c:symbol val="circle"/>
          <c:size val="6"/>
          <c:spPr>
            <a:solidFill>
              <a:schemeClr val="tx1"/>
            </a:solidFill>
            <a:ln w="9525">
              <a:solidFill>
                <a:schemeClr val="accent1"/>
              </a:solidFill>
            </a:ln>
            <a:effectLst/>
          </c:spPr>
        </c:marker>
      </c:pivotFmt>
      <c:pivotFmt>
        <c:idx val="61"/>
        <c:spPr>
          <a:solidFill>
            <a:schemeClr val="accent1">
              <a:lumMod val="40000"/>
              <a:lumOff val="60000"/>
            </a:schemeClr>
          </a:solidFill>
          <a:ln>
            <a:noFill/>
          </a:ln>
          <a:effectLst/>
        </c:spPr>
        <c:marker>
          <c:symbol val="none"/>
        </c:marker>
      </c:pivotFmt>
      <c:pivotFmt>
        <c:idx val="62"/>
        <c:spPr>
          <a:solidFill>
            <a:schemeClr val="bg1"/>
          </a:solidFill>
          <a:ln>
            <a:solidFill>
              <a:schemeClr val="bg1"/>
            </a:solidFill>
          </a:ln>
          <a:effectLst/>
        </c:spPr>
        <c:marker>
          <c:symbol val="none"/>
        </c:marker>
      </c:pivotFmt>
      <c:pivotFmt>
        <c:idx val="63"/>
        <c:spPr>
          <a:solidFill>
            <a:schemeClr val="accent1"/>
          </a:solidFill>
          <a:ln w="28575" cap="rnd">
            <a:noFill/>
            <a:round/>
          </a:ln>
          <a:effectLst/>
        </c:spPr>
        <c:marker>
          <c:symbol val="circle"/>
          <c:size val="6"/>
          <c:spPr>
            <a:solidFill>
              <a:schemeClr val="tx1"/>
            </a:solidFill>
            <a:ln w="9525">
              <a:solidFill>
                <a:schemeClr val="accent1"/>
              </a:solidFill>
            </a:ln>
            <a:effectLst/>
          </c:spPr>
        </c:marker>
      </c:pivotFmt>
    </c:pivotFmts>
    <c:plotArea>
      <c:layout/>
      <c:barChart>
        <c:barDir val="col"/>
        <c:grouping val="clustered"/>
        <c:varyColors val="0"/>
        <c:ser>
          <c:idx val="1"/>
          <c:order val="1"/>
          <c:tx>
            <c:strRef>
              <c:f>'O3 Mortality OTR Chart S65'!$C$8</c:f>
              <c:strCache>
                <c:ptCount val="1"/>
                <c:pt idx="0">
                  <c:v>2 Standard Deviations</c:v>
                </c:pt>
              </c:strCache>
            </c:strRef>
          </c:tx>
          <c:spPr>
            <a:solidFill>
              <a:schemeClr val="accent1">
                <a:lumMod val="40000"/>
                <a:lumOff val="60000"/>
              </a:schemeClr>
            </a:solidFill>
            <a:ln>
              <a:noFill/>
            </a:ln>
            <a:effectLst/>
          </c:spPr>
          <c:invertIfNegative val="0"/>
          <c:cat>
            <c:multiLvlStrRef>
              <c:f>'O3 Mortality OTR Chart S65'!$A$9:$A$73</c:f>
              <c:multiLvlStrCache>
                <c:ptCount val="52"/>
                <c:lvl>
                  <c:pt idx="0">
                    <c:v>2013</c:v>
                  </c:pt>
                  <c:pt idx="1">
                    <c:v>2014</c:v>
                  </c:pt>
                  <c:pt idx="2">
                    <c:v>2015</c:v>
                  </c:pt>
                  <c:pt idx="3">
                    <c:v>2016</c:v>
                  </c:pt>
                  <c:pt idx="4">
                    <c:v>2013</c:v>
                  </c:pt>
                  <c:pt idx="5">
                    <c:v>2014</c:v>
                  </c:pt>
                  <c:pt idx="6">
                    <c:v>2015</c:v>
                  </c:pt>
                  <c:pt idx="7">
                    <c:v>2016</c:v>
                  </c:pt>
                  <c:pt idx="8">
                    <c:v>2013</c:v>
                  </c:pt>
                  <c:pt idx="9">
                    <c:v>2014</c:v>
                  </c:pt>
                  <c:pt idx="10">
                    <c:v>2015</c:v>
                  </c:pt>
                  <c:pt idx="11">
                    <c:v>2016</c:v>
                  </c:pt>
                  <c:pt idx="12">
                    <c:v>2013</c:v>
                  </c:pt>
                  <c:pt idx="13">
                    <c:v>2014</c:v>
                  </c:pt>
                  <c:pt idx="14">
                    <c:v>2015</c:v>
                  </c:pt>
                  <c:pt idx="15">
                    <c:v>2016</c:v>
                  </c:pt>
                  <c:pt idx="16">
                    <c:v>2013</c:v>
                  </c:pt>
                  <c:pt idx="17">
                    <c:v>2014</c:v>
                  </c:pt>
                  <c:pt idx="18">
                    <c:v>2015</c:v>
                  </c:pt>
                  <c:pt idx="19">
                    <c:v>2016</c:v>
                  </c:pt>
                  <c:pt idx="20">
                    <c:v>2013</c:v>
                  </c:pt>
                  <c:pt idx="21">
                    <c:v>2014</c:v>
                  </c:pt>
                  <c:pt idx="22">
                    <c:v>2015</c:v>
                  </c:pt>
                  <c:pt idx="23">
                    <c:v>2016</c:v>
                  </c:pt>
                  <c:pt idx="24">
                    <c:v>2013</c:v>
                  </c:pt>
                  <c:pt idx="25">
                    <c:v>2014</c:v>
                  </c:pt>
                  <c:pt idx="26">
                    <c:v>2015</c:v>
                  </c:pt>
                  <c:pt idx="27">
                    <c:v>2016</c:v>
                  </c:pt>
                  <c:pt idx="28">
                    <c:v>2013</c:v>
                  </c:pt>
                  <c:pt idx="29">
                    <c:v>2014</c:v>
                  </c:pt>
                  <c:pt idx="30">
                    <c:v>2015</c:v>
                  </c:pt>
                  <c:pt idx="31">
                    <c:v>2016</c:v>
                  </c:pt>
                  <c:pt idx="32">
                    <c:v>2013</c:v>
                  </c:pt>
                  <c:pt idx="33">
                    <c:v>2014</c:v>
                  </c:pt>
                  <c:pt idx="34">
                    <c:v>2015</c:v>
                  </c:pt>
                  <c:pt idx="35">
                    <c:v>2016</c:v>
                  </c:pt>
                  <c:pt idx="36">
                    <c:v>2013</c:v>
                  </c:pt>
                  <c:pt idx="37">
                    <c:v>2014</c:v>
                  </c:pt>
                  <c:pt idx="38">
                    <c:v>2015</c:v>
                  </c:pt>
                  <c:pt idx="39">
                    <c:v>2016</c:v>
                  </c:pt>
                  <c:pt idx="40">
                    <c:v>2013</c:v>
                  </c:pt>
                  <c:pt idx="41">
                    <c:v>2014</c:v>
                  </c:pt>
                  <c:pt idx="42">
                    <c:v>2015</c:v>
                  </c:pt>
                  <c:pt idx="43">
                    <c:v>2016</c:v>
                  </c:pt>
                  <c:pt idx="44">
                    <c:v>2013</c:v>
                  </c:pt>
                  <c:pt idx="45">
                    <c:v>2014</c:v>
                  </c:pt>
                  <c:pt idx="46">
                    <c:v>2015</c:v>
                  </c:pt>
                  <c:pt idx="47">
                    <c:v>2016</c:v>
                  </c:pt>
                  <c:pt idx="48">
                    <c:v>2013</c:v>
                  </c:pt>
                  <c:pt idx="49">
                    <c:v>2014</c:v>
                  </c:pt>
                  <c:pt idx="50">
                    <c:v>2015</c:v>
                  </c:pt>
                  <c:pt idx="51">
                    <c:v>2016</c:v>
                  </c:pt>
                </c:lvl>
                <c:lvl>
                  <c:pt idx="0">
                    <c:v>CT</c:v>
                  </c:pt>
                  <c:pt idx="4">
                    <c:v>DE</c:v>
                  </c:pt>
                  <c:pt idx="8">
                    <c:v>DC</c:v>
                  </c:pt>
                  <c:pt idx="12">
                    <c:v>ME</c:v>
                  </c:pt>
                  <c:pt idx="16">
                    <c:v>MD</c:v>
                  </c:pt>
                  <c:pt idx="20">
                    <c:v>MA</c:v>
                  </c:pt>
                  <c:pt idx="24">
                    <c:v>NH</c:v>
                  </c:pt>
                  <c:pt idx="28">
                    <c:v>NJ</c:v>
                  </c:pt>
                  <c:pt idx="32">
                    <c:v>NY</c:v>
                  </c:pt>
                  <c:pt idx="36">
                    <c:v>PA</c:v>
                  </c:pt>
                  <c:pt idx="40">
                    <c:v>RI</c:v>
                  </c:pt>
                  <c:pt idx="44">
                    <c:v>VT</c:v>
                  </c:pt>
                  <c:pt idx="48">
                    <c:v>VA-OTR</c:v>
                  </c:pt>
                </c:lvl>
              </c:multiLvlStrCache>
            </c:multiLvlStrRef>
          </c:cat>
          <c:val>
            <c:numRef>
              <c:f>'O3 Mortality OTR Chart S65'!$C$9:$C$73</c:f>
              <c:numCache>
                <c:formatCode>#,##0</c:formatCode>
                <c:ptCount val="52"/>
                <c:pt idx="0">
                  <c:v>184.29839706420861</c:v>
                </c:pt>
                <c:pt idx="1">
                  <c:v>171.68926239013661</c:v>
                </c:pt>
                <c:pt idx="2">
                  <c:v>197.576698303223</c:v>
                </c:pt>
                <c:pt idx="3">
                  <c:v>192.73953247070278</c:v>
                </c:pt>
                <c:pt idx="4">
                  <c:v>34.293220520019538</c:v>
                </c:pt>
                <c:pt idx="5">
                  <c:v>47.059108734130902</c:v>
                </c:pt>
                <c:pt idx="6">
                  <c:v>57.183515548706019</c:v>
                </c:pt>
                <c:pt idx="7">
                  <c:v>58.994901657104464</c:v>
                </c:pt>
                <c:pt idx="8">
                  <c:v>16.378540039062479</c:v>
                </c:pt>
                <c:pt idx="9">
                  <c:v>14.93788385391235</c:v>
                </c:pt>
                <c:pt idx="10">
                  <c:v>27.40709400176998</c:v>
                </c:pt>
                <c:pt idx="11">
                  <c:v>24.425989151000998</c:v>
                </c:pt>
                <c:pt idx="12">
                  <c:v>16.0342135429382</c:v>
                </c:pt>
                <c:pt idx="13">
                  <c:v>10.1871452331543</c:v>
                </c:pt>
                <c:pt idx="14">
                  <c:v>11.742964267730709</c:v>
                </c:pt>
                <c:pt idx="15">
                  <c:v>10.136199235916131</c:v>
                </c:pt>
                <c:pt idx="16">
                  <c:v>295.72782135009737</c:v>
                </c:pt>
                <c:pt idx="17">
                  <c:v>232.17457580566361</c:v>
                </c:pt>
                <c:pt idx="18">
                  <c:v>417.79255676269503</c:v>
                </c:pt>
                <c:pt idx="19">
                  <c:v>389.8204956054692</c:v>
                </c:pt>
                <c:pt idx="20">
                  <c:v>235.39114379882761</c:v>
                </c:pt>
                <c:pt idx="21">
                  <c:v>97.754901885986385</c:v>
                </c:pt>
                <c:pt idx="22">
                  <c:v>145.8374977111817</c:v>
                </c:pt>
                <c:pt idx="23">
                  <c:v>253.60724639892558</c:v>
                </c:pt>
                <c:pt idx="24">
                  <c:v>42.329767227172823</c:v>
                </c:pt>
                <c:pt idx="25">
                  <c:v>22.268521785736098</c:v>
                </c:pt>
                <c:pt idx="26">
                  <c:v>13.21155977249145</c:v>
                </c:pt>
                <c:pt idx="27">
                  <c:v>29.366670608520518</c:v>
                </c:pt>
                <c:pt idx="28">
                  <c:v>429.10484313964844</c:v>
                </c:pt>
                <c:pt idx="29">
                  <c:v>459.74273681640659</c:v>
                </c:pt>
                <c:pt idx="30">
                  <c:v>520.39331054687455</c:v>
                </c:pt>
                <c:pt idx="31">
                  <c:v>501.22695922851574</c:v>
                </c:pt>
                <c:pt idx="32">
                  <c:v>659.58418273925804</c:v>
                </c:pt>
                <c:pt idx="33">
                  <c:v>436.17140197753861</c:v>
                </c:pt>
                <c:pt idx="34">
                  <c:v>689.40255737304699</c:v>
                </c:pt>
                <c:pt idx="35">
                  <c:v>882.345458984375</c:v>
                </c:pt>
                <c:pt idx="36">
                  <c:v>729.14279174804699</c:v>
                </c:pt>
                <c:pt idx="37">
                  <c:v>502.17820739746116</c:v>
                </c:pt>
                <c:pt idx="38">
                  <c:v>954.415283203125</c:v>
                </c:pt>
                <c:pt idx="39">
                  <c:v>883.21359252929597</c:v>
                </c:pt>
                <c:pt idx="40">
                  <c:v>52.6662921905518</c:v>
                </c:pt>
                <c:pt idx="41">
                  <c:v>11.86353921890259</c:v>
                </c:pt>
                <c:pt idx="42">
                  <c:v>54.866712570190487</c:v>
                </c:pt>
                <c:pt idx="43">
                  <c:v>56.590612411499038</c:v>
                </c:pt>
                <c:pt idx="44">
                  <c:v>5.2298237085342443</c:v>
                </c:pt>
                <c:pt idx="45">
                  <c:v>3.4360256195068377</c:v>
                </c:pt>
                <c:pt idx="46">
                  <c:v>13.21493911743163</c:v>
                </c:pt>
                <c:pt idx="47">
                  <c:v>9.3114032745361204</c:v>
                </c:pt>
                <c:pt idx="48">
                  <c:v>82.662218093872099</c:v>
                </c:pt>
                <c:pt idx="49">
                  <c:v>55.396360397338881</c:v>
                </c:pt>
                <c:pt idx="50">
                  <c:v>104.12451171875</c:v>
                </c:pt>
                <c:pt idx="51">
                  <c:v>102.37546539306649</c:v>
                </c:pt>
              </c:numCache>
            </c:numRef>
          </c:val>
        </c:ser>
        <c:ser>
          <c:idx val="2"/>
          <c:order val="2"/>
          <c:tx>
            <c:strRef>
              <c:f>'O3 Mortality OTR Chart S65'!$D$8</c:f>
              <c:strCache>
                <c:ptCount val="1"/>
                <c:pt idx="0">
                  <c:v> </c:v>
                </c:pt>
              </c:strCache>
            </c:strRef>
          </c:tx>
          <c:spPr>
            <a:solidFill>
              <a:schemeClr val="bg1"/>
            </a:solidFill>
            <a:ln>
              <a:solidFill>
                <a:schemeClr val="bg1"/>
              </a:solidFill>
            </a:ln>
            <a:effectLst/>
          </c:spPr>
          <c:invertIfNegative val="0"/>
          <c:cat>
            <c:multiLvlStrRef>
              <c:f>'O3 Mortality OTR Chart S65'!$A$9:$A$73</c:f>
              <c:multiLvlStrCache>
                <c:ptCount val="52"/>
                <c:lvl>
                  <c:pt idx="0">
                    <c:v>2013</c:v>
                  </c:pt>
                  <c:pt idx="1">
                    <c:v>2014</c:v>
                  </c:pt>
                  <c:pt idx="2">
                    <c:v>2015</c:v>
                  </c:pt>
                  <c:pt idx="3">
                    <c:v>2016</c:v>
                  </c:pt>
                  <c:pt idx="4">
                    <c:v>2013</c:v>
                  </c:pt>
                  <c:pt idx="5">
                    <c:v>2014</c:v>
                  </c:pt>
                  <c:pt idx="6">
                    <c:v>2015</c:v>
                  </c:pt>
                  <c:pt idx="7">
                    <c:v>2016</c:v>
                  </c:pt>
                  <c:pt idx="8">
                    <c:v>2013</c:v>
                  </c:pt>
                  <c:pt idx="9">
                    <c:v>2014</c:v>
                  </c:pt>
                  <c:pt idx="10">
                    <c:v>2015</c:v>
                  </c:pt>
                  <c:pt idx="11">
                    <c:v>2016</c:v>
                  </c:pt>
                  <c:pt idx="12">
                    <c:v>2013</c:v>
                  </c:pt>
                  <c:pt idx="13">
                    <c:v>2014</c:v>
                  </c:pt>
                  <c:pt idx="14">
                    <c:v>2015</c:v>
                  </c:pt>
                  <c:pt idx="15">
                    <c:v>2016</c:v>
                  </c:pt>
                  <c:pt idx="16">
                    <c:v>2013</c:v>
                  </c:pt>
                  <c:pt idx="17">
                    <c:v>2014</c:v>
                  </c:pt>
                  <c:pt idx="18">
                    <c:v>2015</c:v>
                  </c:pt>
                  <c:pt idx="19">
                    <c:v>2016</c:v>
                  </c:pt>
                  <c:pt idx="20">
                    <c:v>2013</c:v>
                  </c:pt>
                  <c:pt idx="21">
                    <c:v>2014</c:v>
                  </c:pt>
                  <c:pt idx="22">
                    <c:v>2015</c:v>
                  </c:pt>
                  <c:pt idx="23">
                    <c:v>2016</c:v>
                  </c:pt>
                  <c:pt idx="24">
                    <c:v>2013</c:v>
                  </c:pt>
                  <c:pt idx="25">
                    <c:v>2014</c:v>
                  </c:pt>
                  <c:pt idx="26">
                    <c:v>2015</c:v>
                  </c:pt>
                  <c:pt idx="27">
                    <c:v>2016</c:v>
                  </c:pt>
                  <c:pt idx="28">
                    <c:v>2013</c:v>
                  </c:pt>
                  <c:pt idx="29">
                    <c:v>2014</c:v>
                  </c:pt>
                  <c:pt idx="30">
                    <c:v>2015</c:v>
                  </c:pt>
                  <c:pt idx="31">
                    <c:v>2016</c:v>
                  </c:pt>
                  <c:pt idx="32">
                    <c:v>2013</c:v>
                  </c:pt>
                  <c:pt idx="33">
                    <c:v>2014</c:v>
                  </c:pt>
                  <c:pt idx="34">
                    <c:v>2015</c:v>
                  </c:pt>
                  <c:pt idx="35">
                    <c:v>2016</c:v>
                  </c:pt>
                  <c:pt idx="36">
                    <c:v>2013</c:v>
                  </c:pt>
                  <c:pt idx="37">
                    <c:v>2014</c:v>
                  </c:pt>
                  <c:pt idx="38">
                    <c:v>2015</c:v>
                  </c:pt>
                  <c:pt idx="39">
                    <c:v>2016</c:v>
                  </c:pt>
                  <c:pt idx="40">
                    <c:v>2013</c:v>
                  </c:pt>
                  <c:pt idx="41">
                    <c:v>2014</c:v>
                  </c:pt>
                  <c:pt idx="42">
                    <c:v>2015</c:v>
                  </c:pt>
                  <c:pt idx="43">
                    <c:v>2016</c:v>
                  </c:pt>
                  <c:pt idx="44">
                    <c:v>2013</c:v>
                  </c:pt>
                  <c:pt idx="45">
                    <c:v>2014</c:v>
                  </c:pt>
                  <c:pt idx="46">
                    <c:v>2015</c:v>
                  </c:pt>
                  <c:pt idx="47">
                    <c:v>2016</c:v>
                  </c:pt>
                  <c:pt idx="48">
                    <c:v>2013</c:v>
                  </c:pt>
                  <c:pt idx="49">
                    <c:v>2014</c:v>
                  </c:pt>
                  <c:pt idx="50">
                    <c:v>2015</c:v>
                  </c:pt>
                  <c:pt idx="51">
                    <c:v>2016</c:v>
                  </c:pt>
                </c:lvl>
                <c:lvl>
                  <c:pt idx="0">
                    <c:v>CT</c:v>
                  </c:pt>
                  <c:pt idx="4">
                    <c:v>DE</c:v>
                  </c:pt>
                  <c:pt idx="8">
                    <c:v>DC</c:v>
                  </c:pt>
                  <c:pt idx="12">
                    <c:v>ME</c:v>
                  </c:pt>
                  <c:pt idx="16">
                    <c:v>MD</c:v>
                  </c:pt>
                  <c:pt idx="20">
                    <c:v>MA</c:v>
                  </c:pt>
                  <c:pt idx="24">
                    <c:v>NH</c:v>
                  </c:pt>
                  <c:pt idx="28">
                    <c:v>NJ</c:v>
                  </c:pt>
                  <c:pt idx="32">
                    <c:v>NY</c:v>
                  </c:pt>
                  <c:pt idx="36">
                    <c:v>PA</c:v>
                  </c:pt>
                  <c:pt idx="40">
                    <c:v>RI</c:v>
                  </c:pt>
                  <c:pt idx="44">
                    <c:v>VT</c:v>
                  </c:pt>
                  <c:pt idx="48">
                    <c:v>VA-OTR</c:v>
                  </c:pt>
                </c:lvl>
              </c:multiLvlStrCache>
            </c:multiLvlStrRef>
          </c:cat>
          <c:val>
            <c:numRef>
              <c:f>'O3 Mortality OTR Chart S65'!$D$9:$D$73</c:f>
              <c:numCache>
                <c:formatCode>#,##0</c:formatCode>
                <c:ptCount val="52"/>
                <c:pt idx="0">
                  <c:v>61.806278228759403</c:v>
                </c:pt>
                <c:pt idx="1">
                  <c:v>57.577659606933402</c:v>
                </c:pt>
                <c:pt idx="2">
                  <c:v>66.283958435058992</c:v>
                </c:pt>
                <c:pt idx="3">
                  <c:v>64.66635131835919</c:v>
                </c:pt>
                <c:pt idx="4">
                  <c:v>11.484413146972662</c:v>
                </c:pt>
                <c:pt idx="5">
                  <c:v>15.7787780761719</c:v>
                </c:pt>
                <c:pt idx="6">
                  <c:v>19.200708389282177</c:v>
                </c:pt>
                <c:pt idx="7">
                  <c:v>19.805162429809542</c:v>
                </c:pt>
                <c:pt idx="8">
                  <c:v>5.4866390228271191</c:v>
                </c:pt>
                <c:pt idx="9">
                  <c:v>4.9958434104919505</c:v>
                </c:pt>
                <c:pt idx="10">
                  <c:v>9.2056798934936204</c:v>
                </c:pt>
                <c:pt idx="11">
                  <c:v>8.2023906707764009</c:v>
                </c:pt>
                <c:pt idx="12">
                  <c:v>5.3530545234679998</c:v>
                </c:pt>
                <c:pt idx="13">
                  <c:v>3.4018621444702202</c:v>
                </c:pt>
                <c:pt idx="14">
                  <c:v>3.9185547828674294</c:v>
                </c:pt>
                <c:pt idx="15">
                  <c:v>3.3815009593963699</c:v>
                </c:pt>
                <c:pt idx="16">
                  <c:v>99.112113952636591</c:v>
                </c:pt>
                <c:pt idx="17">
                  <c:v>77.732864379882415</c:v>
                </c:pt>
                <c:pt idx="18">
                  <c:v>140.31645202636702</c:v>
                </c:pt>
                <c:pt idx="19">
                  <c:v>130.86480712890682</c:v>
                </c:pt>
                <c:pt idx="20">
                  <c:v>78.832702636718409</c:v>
                </c:pt>
                <c:pt idx="21">
                  <c:v>32.671504974365199</c:v>
                </c:pt>
                <c:pt idx="22">
                  <c:v>48.795162200927699</c:v>
                </c:pt>
                <c:pt idx="23">
                  <c:v>84.970970153808395</c:v>
                </c:pt>
                <c:pt idx="24">
                  <c:v>14.171934127807578</c:v>
                </c:pt>
                <c:pt idx="25">
                  <c:v>7.4395775794982999</c:v>
                </c:pt>
                <c:pt idx="26">
                  <c:v>4.4039664268493706</c:v>
                </c:pt>
                <c:pt idx="27">
                  <c:v>9.8104686737060796</c:v>
                </c:pt>
                <c:pt idx="28">
                  <c:v>143.89033508300761</c:v>
                </c:pt>
                <c:pt idx="29">
                  <c:v>154.21508789062543</c:v>
                </c:pt>
                <c:pt idx="30">
                  <c:v>174.68304443359338</c:v>
                </c:pt>
                <c:pt idx="31">
                  <c:v>168.21969604492219</c:v>
                </c:pt>
                <c:pt idx="32">
                  <c:v>220.98789978027403</c:v>
                </c:pt>
                <c:pt idx="33">
                  <c:v>146.02653503417937</c:v>
                </c:pt>
                <c:pt idx="34">
                  <c:v>231.10061645507901</c:v>
                </c:pt>
                <c:pt idx="35">
                  <c:v>295.94677734375097</c:v>
                </c:pt>
                <c:pt idx="36">
                  <c:v>244.33822631835901</c:v>
                </c:pt>
                <c:pt idx="37">
                  <c:v>168.14247131347679</c:v>
                </c:pt>
                <c:pt idx="38">
                  <c:v>320.32165527343705</c:v>
                </c:pt>
                <c:pt idx="39">
                  <c:v>296.26992797851602</c:v>
                </c:pt>
                <c:pt idx="40">
                  <c:v>17.656827926635799</c:v>
                </c:pt>
                <c:pt idx="41">
                  <c:v>3.9548068046569895</c:v>
                </c:pt>
                <c:pt idx="42">
                  <c:v>18.394372940063523</c:v>
                </c:pt>
                <c:pt idx="43">
                  <c:v>18.981988906860362</c:v>
                </c:pt>
                <c:pt idx="44">
                  <c:v>1.7417892217636157</c:v>
                </c:pt>
                <c:pt idx="45">
                  <c:v>1.1440114974975619</c:v>
                </c:pt>
                <c:pt idx="46">
                  <c:v>4.4101600646972692</c:v>
                </c:pt>
                <c:pt idx="47">
                  <c:v>3.1105117797851602</c:v>
                </c:pt>
                <c:pt idx="48">
                  <c:v>27.732091903686499</c:v>
                </c:pt>
                <c:pt idx="49">
                  <c:v>18.53508186340332</c:v>
                </c:pt>
                <c:pt idx="50">
                  <c:v>34.961639404296797</c:v>
                </c:pt>
                <c:pt idx="51">
                  <c:v>34.371986389160092</c:v>
                </c:pt>
              </c:numCache>
            </c:numRef>
          </c:val>
        </c:ser>
        <c:dLbls>
          <c:showLegendKey val="0"/>
          <c:showVal val="0"/>
          <c:showCatName val="0"/>
          <c:showSerName val="0"/>
          <c:showPercent val="0"/>
          <c:showBubbleSize val="0"/>
        </c:dLbls>
        <c:gapWidth val="500"/>
        <c:overlap val="100"/>
        <c:axId val="138689552"/>
        <c:axId val="138689944"/>
      </c:barChart>
      <c:lineChart>
        <c:grouping val="standard"/>
        <c:varyColors val="0"/>
        <c:ser>
          <c:idx val="0"/>
          <c:order val="0"/>
          <c:tx>
            <c:strRef>
              <c:f>'O3 Mortality OTR Chart S65'!$B$8</c:f>
              <c:strCache>
                <c:ptCount val="1"/>
                <c:pt idx="0">
                  <c:v>Mean Mortality</c:v>
                </c:pt>
              </c:strCache>
            </c:strRef>
          </c:tx>
          <c:spPr>
            <a:ln w="28575" cap="rnd">
              <a:noFill/>
              <a:round/>
            </a:ln>
            <a:effectLst/>
          </c:spPr>
          <c:marker>
            <c:symbol val="circle"/>
            <c:size val="6"/>
            <c:spPr>
              <a:solidFill>
                <a:schemeClr val="tx1"/>
              </a:solidFill>
              <a:ln w="9525">
                <a:solidFill>
                  <a:schemeClr val="accent1"/>
                </a:solidFill>
              </a:ln>
              <a:effectLst/>
            </c:spPr>
          </c:marker>
          <c:cat>
            <c:multiLvlStrRef>
              <c:f>'O3 Mortality OTR Chart S65'!$A$9:$A$73</c:f>
              <c:multiLvlStrCache>
                <c:ptCount val="52"/>
                <c:lvl>
                  <c:pt idx="0">
                    <c:v>2013</c:v>
                  </c:pt>
                  <c:pt idx="1">
                    <c:v>2014</c:v>
                  </c:pt>
                  <c:pt idx="2">
                    <c:v>2015</c:v>
                  </c:pt>
                  <c:pt idx="3">
                    <c:v>2016</c:v>
                  </c:pt>
                  <c:pt idx="4">
                    <c:v>2013</c:v>
                  </c:pt>
                  <c:pt idx="5">
                    <c:v>2014</c:v>
                  </c:pt>
                  <c:pt idx="6">
                    <c:v>2015</c:v>
                  </c:pt>
                  <c:pt idx="7">
                    <c:v>2016</c:v>
                  </c:pt>
                  <c:pt idx="8">
                    <c:v>2013</c:v>
                  </c:pt>
                  <c:pt idx="9">
                    <c:v>2014</c:v>
                  </c:pt>
                  <c:pt idx="10">
                    <c:v>2015</c:v>
                  </c:pt>
                  <c:pt idx="11">
                    <c:v>2016</c:v>
                  </c:pt>
                  <c:pt idx="12">
                    <c:v>2013</c:v>
                  </c:pt>
                  <c:pt idx="13">
                    <c:v>2014</c:v>
                  </c:pt>
                  <c:pt idx="14">
                    <c:v>2015</c:v>
                  </c:pt>
                  <c:pt idx="15">
                    <c:v>2016</c:v>
                  </c:pt>
                  <c:pt idx="16">
                    <c:v>2013</c:v>
                  </c:pt>
                  <c:pt idx="17">
                    <c:v>2014</c:v>
                  </c:pt>
                  <c:pt idx="18">
                    <c:v>2015</c:v>
                  </c:pt>
                  <c:pt idx="19">
                    <c:v>2016</c:v>
                  </c:pt>
                  <c:pt idx="20">
                    <c:v>2013</c:v>
                  </c:pt>
                  <c:pt idx="21">
                    <c:v>2014</c:v>
                  </c:pt>
                  <c:pt idx="22">
                    <c:v>2015</c:v>
                  </c:pt>
                  <c:pt idx="23">
                    <c:v>2016</c:v>
                  </c:pt>
                  <c:pt idx="24">
                    <c:v>2013</c:v>
                  </c:pt>
                  <c:pt idx="25">
                    <c:v>2014</c:v>
                  </c:pt>
                  <c:pt idx="26">
                    <c:v>2015</c:v>
                  </c:pt>
                  <c:pt idx="27">
                    <c:v>2016</c:v>
                  </c:pt>
                  <c:pt idx="28">
                    <c:v>2013</c:v>
                  </c:pt>
                  <c:pt idx="29">
                    <c:v>2014</c:v>
                  </c:pt>
                  <c:pt idx="30">
                    <c:v>2015</c:v>
                  </c:pt>
                  <c:pt idx="31">
                    <c:v>2016</c:v>
                  </c:pt>
                  <c:pt idx="32">
                    <c:v>2013</c:v>
                  </c:pt>
                  <c:pt idx="33">
                    <c:v>2014</c:v>
                  </c:pt>
                  <c:pt idx="34">
                    <c:v>2015</c:v>
                  </c:pt>
                  <c:pt idx="35">
                    <c:v>2016</c:v>
                  </c:pt>
                  <c:pt idx="36">
                    <c:v>2013</c:v>
                  </c:pt>
                  <c:pt idx="37">
                    <c:v>2014</c:v>
                  </c:pt>
                  <c:pt idx="38">
                    <c:v>2015</c:v>
                  </c:pt>
                  <c:pt idx="39">
                    <c:v>2016</c:v>
                  </c:pt>
                  <c:pt idx="40">
                    <c:v>2013</c:v>
                  </c:pt>
                  <c:pt idx="41">
                    <c:v>2014</c:v>
                  </c:pt>
                  <c:pt idx="42">
                    <c:v>2015</c:v>
                  </c:pt>
                  <c:pt idx="43">
                    <c:v>2016</c:v>
                  </c:pt>
                  <c:pt idx="44">
                    <c:v>2013</c:v>
                  </c:pt>
                  <c:pt idx="45">
                    <c:v>2014</c:v>
                  </c:pt>
                  <c:pt idx="46">
                    <c:v>2015</c:v>
                  </c:pt>
                  <c:pt idx="47">
                    <c:v>2016</c:v>
                  </c:pt>
                  <c:pt idx="48">
                    <c:v>2013</c:v>
                  </c:pt>
                  <c:pt idx="49">
                    <c:v>2014</c:v>
                  </c:pt>
                  <c:pt idx="50">
                    <c:v>2015</c:v>
                  </c:pt>
                  <c:pt idx="51">
                    <c:v>2016</c:v>
                  </c:pt>
                </c:lvl>
                <c:lvl>
                  <c:pt idx="0">
                    <c:v>CT</c:v>
                  </c:pt>
                  <c:pt idx="4">
                    <c:v>DE</c:v>
                  </c:pt>
                  <c:pt idx="8">
                    <c:v>DC</c:v>
                  </c:pt>
                  <c:pt idx="12">
                    <c:v>ME</c:v>
                  </c:pt>
                  <c:pt idx="16">
                    <c:v>MD</c:v>
                  </c:pt>
                  <c:pt idx="20">
                    <c:v>MA</c:v>
                  </c:pt>
                  <c:pt idx="24">
                    <c:v>NH</c:v>
                  </c:pt>
                  <c:pt idx="28">
                    <c:v>NJ</c:v>
                  </c:pt>
                  <c:pt idx="32">
                    <c:v>NY</c:v>
                  </c:pt>
                  <c:pt idx="36">
                    <c:v>PA</c:v>
                  </c:pt>
                  <c:pt idx="40">
                    <c:v>RI</c:v>
                  </c:pt>
                  <c:pt idx="44">
                    <c:v>VT</c:v>
                  </c:pt>
                  <c:pt idx="48">
                    <c:v>VA-OTR</c:v>
                  </c:pt>
                </c:lvl>
              </c:multiLvlStrCache>
            </c:multiLvlStrRef>
          </c:cat>
          <c:val>
            <c:numRef>
              <c:f>'O3 Mortality OTR Chart S65'!$B$9:$B$73</c:f>
              <c:numCache>
                <c:formatCode>#,##0</c:formatCode>
                <c:ptCount val="52"/>
                <c:pt idx="0">
                  <c:v>123.05233764648401</c:v>
                </c:pt>
                <c:pt idx="1">
                  <c:v>114.633460998535</c:v>
                </c:pt>
                <c:pt idx="2">
                  <c:v>131.93032836914099</c:v>
                </c:pt>
                <c:pt idx="3">
                  <c:v>128.70294189453099</c:v>
                </c:pt>
                <c:pt idx="4">
                  <c:v>22.888816833496101</c:v>
                </c:pt>
                <c:pt idx="5">
                  <c:v>31.418943405151399</c:v>
                </c:pt>
                <c:pt idx="6">
                  <c:v>38.192111968994098</c:v>
                </c:pt>
                <c:pt idx="7">
                  <c:v>39.400032043457003</c:v>
                </c:pt>
                <c:pt idx="8">
                  <c:v>10.932589530944799</c:v>
                </c:pt>
                <c:pt idx="9">
                  <c:v>9.9668636322021502</c:v>
                </c:pt>
                <c:pt idx="10">
                  <c:v>18.3063869476318</c:v>
                </c:pt>
                <c:pt idx="11">
                  <c:v>16.3141899108887</c:v>
                </c:pt>
                <c:pt idx="12">
                  <c:v>10.6936340332031</c:v>
                </c:pt>
                <c:pt idx="13">
                  <c:v>6.7945036888122603</c:v>
                </c:pt>
                <c:pt idx="14">
                  <c:v>7.8307595252990696</c:v>
                </c:pt>
                <c:pt idx="15">
                  <c:v>6.75885009765625</c:v>
                </c:pt>
                <c:pt idx="16">
                  <c:v>197.41996765136699</c:v>
                </c:pt>
                <c:pt idx="17">
                  <c:v>154.95372009277301</c:v>
                </c:pt>
                <c:pt idx="18">
                  <c:v>279.05450439453102</c:v>
                </c:pt>
                <c:pt idx="19">
                  <c:v>260.34265136718801</c:v>
                </c:pt>
                <c:pt idx="20">
                  <c:v>157.11192321777301</c:v>
                </c:pt>
                <c:pt idx="21">
                  <c:v>65.213203430175795</c:v>
                </c:pt>
                <c:pt idx="22">
                  <c:v>97.316329956054702</c:v>
                </c:pt>
                <c:pt idx="23">
                  <c:v>169.28910827636699</c:v>
                </c:pt>
                <c:pt idx="24">
                  <c:v>28.250850677490199</c:v>
                </c:pt>
                <c:pt idx="25">
                  <c:v>14.8540496826172</c:v>
                </c:pt>
                <c:pt idx="26">
                  <c:v>8.8077630996704102</c:v>
                </c:pt>
                <c:pt idx="27">
                  <c:v>19.588569641113299</c:v>
                </c:pt>
                <c:pt idx="28">
                  <c:v>286.49758911132801</c:v>
                </c:pt>
                <c:pt idx="29">
                  <c:v>306.97891235351602</c:v>
                </c:pt>
                <c:pt idx="30">
                  <c:v>347.53817749023398</c:v>
                </c:pt>
                <c:pt idx="31">
                  <c:v>334.72332763671898</c:v>
                </c:pt>
                <c:pt idx="32">
                  <c:v>440.28604125976602</c:v>
                </c:pt>
                <c:pt idx="33">
                  <c:v>291.09896850585898</c:v>
                </c:pt>
                <c:pt idx="34">
                  <c:v>460.25158691406301</c:v>
                </c:pt>
                <c:pt idx="35">
                  <c:v>589.14611816406295</c:v>
                </c:pt>
                <c:pt idx="36">
                  <c:v>486.74050903320301</c:v>
                </c:pt>
                <c:pt idx="37">
                  <c:v>335.16033935546898</c:v>
                </c:pt>
                <c:pt idx="38">
                  <c:v>637.36846923828102</c:v>
                </c:pt>
                <c:pt idx="39">
                  <c:v>589.74176025390602</c:v>
                </c:pt>
                <c:pt idx="40">
                  <c:v>35.1615600585938</c:v>
                </c:pt>
                <c:pt idx="41">
                  <c:v>7.9091730117797896</c:v>
                </c:pt>
                <c:pt idx="42">
                  <c:v>36.630542755127003</c:v>
                </c:pt>
                <c:pt idx="43">
                  <c:v>37.786300659179702</c:v>
                </c:pt>
                <c:pt idx="44">
                  <c:v>3.4858064651489298</c:v>
                </c:pt>
                <c:pt idx="45">
                  <c:v>2.2900185585021999</c:v>
                </c:pt>
                <c:pt idx="46">
                  <c:v>8.8125495910644496</c:v>
                </c:pt>
                <c:pt idx="47">
                  <c:v>6.2109575271606401</c:v>
                </c:pt>
                <c:pt idx="48">
                  <c:v>55.197154998779297</c:v>
                </c:pt>
                <c:pt idx="49">
                  <c:v>36.965721130371101</c:v>
                </c:pt>
                <c:pt idx="50">
                  <c:v>69.543075561523395</c:v>
                </c:pt>
                <c:pt idx="51">
                  <c:v>68.373725891113295</c:v>
                </c:pt>
              </c:numCache>
            </c:numRef>
          </c:val>
          <c:smooth val="0"/>
        </c:ser>
        <c:dLbls>
          <c:showLegendKey val="0"/>
          <c:showVal val="0"/>
          <c:showCatName val="0"/>
          <c:showSerName val="0"/>
          <c:showPercent val="0"/>
          <c:showBubbleSize val="0"/>
        </c:dLbls>
        <c:marker val="1"/>
        <c:smooth val="0"/>
        <c:axId val="138689552"/>
        <c:axId val="138689944"/>
      </c:lineChart>
      <c:catAx>
        <c:axId val="13868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38689944"/>
        <c:crosses val="autoZero"/>
        <c:auto val="1"/>
        <c:lblAlgn val="ctr"/>
        <c:lblOffset val="100"/>
        <c:noMultiLvlLbl val="0"/>
      </c:catAx>
      <c:valAx>
        <c:axId val="138689944"/>
        <c:scaling>
          <c:orientation val="minMax"/>
          <c:max val="1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8689552"/>
        <c:crosses val="autoZero"/>
        <c:crossBetween val="between"/>
      </c:valAx>
      <c:spPr>
        <a:noFill/>
        <a:ln>
          <a:noFill/>
        </a:ln>
        <a:effectLst/>
      </c:spPr>
    </c:plotArea>
    <c:legend>
      <c:legendPos val="t"/>
      <c:layout>
        <c:manualLayout>
          <c:xMode val="edge"/>
          <c:yMode val="edge"/>
          <c:x val="8.0288545662561411E-2"/>
          <c:y val="2.1106736657917763E-2"/>
          <c:w val="0.38593832020997376"/>
          <c:h val="0.1398002333041703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[BenMap Rollback Analysis Results - v1.3.52.xlsx]O3 Mortality OTR Chart S40!PivotTable1</c:name>
    <c:fmtId val="-1"/>
  </c:pivotSource>
  <c:chart>
    <c:autoTitleDeleted val="0"/>
    <c:pivotFmts>
      <c:pivotFmt>
        <c:idx val="0"/>
        <c:spPr>
          <a:solidFill>
            <a:schemeClr val="accent1"/>
          </a:solidFill>
          <a:ln w="28575" cap="rnd">
            <a:noFill/>
            <a:round/>
          </a:ln>
          <a:effectLst/>
        </c:spPr>
        <c:marker>
          <c:symbol val="circle"/>
          <c:size val="10"/>
          <c:spPr>
            <a:solidFill>
              <a:schemeClr val="tx1"/>
            </a:solidFill>
            <a:ln w="9525">
              <a:noFill/>
            </a:ln>
            <a:effectLst/>
          </c:spPr>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w="28575" cap="rnd">
            <a:noFill/>
            <a:round/>
          </a:ln>
          <a:effectLst/>
        </c:spPr>
        <c:marker>
          <c:symbol val="circle"/>
          <c:size val="7"/>
          <c:spPr>
            <a:solidFill>
              <a:schemeClr val="tx1"/>
            </a:solidFill>
            <a:ln w="9525">
              <a:noFill/>
            </a:ln>
            <a:effectLst/>
          </c:spPr>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bg1"/>
          </a:solidFill>
          <a:ln>
            <a:solidFill>
              <a:schemeClr val="bg1"/>
            </a:solidFill>
          </a:ln>
          <a:effectLst/>
        </c:spPr>
        <c:marker>
          <c:symbol val="none"/>
        </c:marker>
      </c:pivotFmt>
      <c:pivotFmt>
        <c:idx val="11"/>
        <c:spPr>
          <a:solidFill>
            <a:schemeClr val="accent1"/>
          </a:solidFill>
          <a:ln w="28575" cap="rnd">
            <a:noFill/>
            <a:round/>
          </a:ln>
          <a:effectLst/>
        </c:spPr>
        <c:marker>
          <c:symbol val="circle"/>
          <c:size val="6"/>
          <c:spPr>
            <a:solidFill>
              <a:schemeClr val="tx1"/>
            </a:solidFill>
            <a:ln w="9525">
              <a:solidFill>
                <a:schemeClr val="accent1"/>
              </a:solidFill>
            </a:ln>
            <a:effectLst/>
          </c:spPr>
        </c:marker>
      </c:pivotFmt>
      <c:pivotFmt>
        <c:idx val="12"/>
        <c:spPr>
          <a:solidFill>
            <a:schemeClr val="accent1">
              <a:lumMod val="40000"/>
              <a:lumOff val="60000"/>
            </a:schemeClr>
          </a:solidFill>
          <a:ln>
            <a:solidFill>
              <a:schemeClr val="tx1"/>
            </a:solidFill>
          </a:ln>
          <a:effectLst/>
        </c:spPr>
        <c:marker>
          <c:symbol val="none"/>
        </c:marker>
      </c:pivotFmt>
      <c:pivotFmt>
        <c:idx val="13"/>
        <c:spPr>
          <a:solidFill>
            <a:schemeClr val="accent1"/>
          </a:solidFill>
          <a:ln w="28575" cap="rnd">
            <a:noFill/>
            <a:round/>
          </a:ln>
          <a:effectLst/>
        </c:spPr>
        <c:marker>
          <c:symbol val="circle"/>
          <c:size val="6"/>
          <c:spPr>
            <a:solidFill>
              <a:schemeClr val="tx1"/>
            </a:solidFill>
            <a:ln w="9525">
              <a:solidFill>
                <a:schemeClr val="accent1"/>
              </a:solidFill>
            </a:ln>
            <a:effectLst/>
          </c:spPr>
        </c:marker>
      </c:pivotFmt>
      <c:pivotFmt>
        <c:idx val="14"/>
        <c:spPr>
          <a:solidFill>
            <a:schemeClr val="bg1"/>
          </a:solidFill>
          <a:ln>
            <a:solidFill>
              <a:schemeClr val="bg1"/>
            </a:solidFill>
          </a:ln>
          <a:effectLst/>
        </c:spPr>
        <c:marker>
          <c:symbol val="none"/>
        </c:marker>
      </c:pivotFmt>
      <c:pivotFmt>
        <c:idx val="15"/>
        <c:spPr>
          <a:solidFill>
            <a:schemeClr val="accent1"/>
          </a:solidFill>
          <a:ln>
            <a:solidFill>
              <a:schemeClr val="tx1"/>
            </a:solidFill>
          </a:ln>
          <a:effectLst/>
        </c:spPr>
        <c:marker>
          <c:symbol val="none"/>
        </c:marker>
      </c:pivotFmt>
      <c:pivotFmt>
        <c:idx val="16"/>
        <c:spPr>
          <a:solidFill>
            <a:schemeClr val="accent1">
              <a:lumMod val="40000"/>
              <a:lumOff val="60000"/>
            </a:schemeClr>
          </a:solidFill>
          <a:ln>
            <a:noFill/>
          </a:ln>
          <a:effectLst/>
        </c:spPr>
        <c:marker>
          <c:symbol val="none"/>
        </c:marker>
      </c:pivotFmt>
      <c:pivotFmt>
        <c:idx val="17"/>
        <c:spPr>
          <a:solidFill>
            <a:schemeClr val="bg1"/>
          </a:solidFill>
          <a:ln>
            <a:solidFill>
              <a:schemeClr val="bg1"/>
            </a:solidFill>
          </a:ln>
          <a:effectLst/>
        </c:spPr>
        <c:marker>
          <c:symbol val="none"/>
        </c:marker>
      </c:pivotFmt>
      <c:pivotFmt>
        <c:idx val="18"/>
        <c:spPr>
          <a:solidFill>
            <a:schemeClr val="accent1"/>
          </a:solidFill>
          <a:ln w="28575" cap="rnd">
            <a:noFill/>
            <a:round/>
          </a:ln>
          <a:effectLst/>
        </c:spPr>
        <c:marker>
          <c:symbol val="circle"/>
          <c:size val="6"/>
          <c:spPr>
            <a:solidFill>
              <a:schemeClr val="tx1"/>
            </a:solidFill>
            <a:ln w="9525">
              <a:solidFill>
                <a:schemeClr val="accent1"/>
              </a:solidFill>
            </a:ln>
            <a:effectLst/>
          </c:spPr>
        </c:marker>
      </c:pivotFmt>
      <c:pivotFmt>
        <c:idx val="19"/>
        <c:spPr>
          <a:solidFill>
            <a:schemeClr val="accent1"/>
          </a:solidFill>
          <a:ln w="25400">
            <a:noFill/>
          </a:ln>
          <a:effectLst/>
        </c:spPr>
        <c:marker>
          <c:symbol val="none"/>
        </c:marker>
      </c:pivotFmt>
      <c:pivotFmt>
        <c:idx val="20"/>
        <c:spPr>
          <a:solidFill>
            <a:schemeClr val="accent1">
              <a:lumMod val="40000"/>
              <a:lumOff val="60000"/>
            </a:schemeClr>
          </a:solidFill>
          <a:ln w="25400">
            <a:noFill/>
          </a:ln>
          <a:effectLst/>
        </c:spPr>
        <c:marker>
          <c:symbol val="none"/>
        </c:marker>
      </c:pivotFmt>
      <c:pivotFmt>
        <c:idx val="21"/>
        <c:spPr>
          <a:solidFill>
            <a:schemeClr val="bg1"/>
          </a:solidFill>
          <a:ln w="25400">
            <a:noFill/>
          </a:ln>
          <a:effectLst/>
        </c:spPr>
        <c:marker>
          <c:symbol val="none"/>
        </c:marker>
      </c:pivotFmt>
      <c:pivotFmt>
        <c:idx val="22"/>
        <c:spPr>
          <a:solidFill>
            <a:schemeClr val="accent1"/>
          </a:solidFill>
          <a:ln w="25400">
            <a:noFill/>
          </a:ln>
          <a:effectLst/>
        </c:spPr>
        <c:marker>
          <c:symbol val="none"/>
        </c:marker>
      </c:pivotFmt>
      <c:pivotFmt>
        <c:idx val="23"/>
        <c:spPr>
          <a:solidFill>
            <a:schemeClr val="accent1">
              <a:lumMod val="40000"/>
              <a:lumOff val="60000"/>
            </a:schemeClr>
          </a:solidFill>
          <a:ln w="25400">
            <a:noFill/>
          </a:ln>
          <a:effectLst/>
        </c:spPr>
        <c:marker>
          <c:symbol val="none"/>
        </c:marker>
      </c:pivotFmt>
      <c:pivotFmt>
        <c:idx val="24"/>
        <c:spPr>
          <a:solidFill>
            <a:schemeClr val="bg1"/>
          </a:solidFill>
          <a:ln w="25400">
            <a:noFill/>
          </a:ln>
          <a:effectLst/>
        </c:spPr>
        <c:marker>
          <c:symbol val="none"/>
        </c:marker>
      </c:pivotFmt>
      <c:pivotFmt>
        <c:idx val="25"/>
        <c:spPr>
          <a:solidFill>
            <a:schemeClr val="accent1"/>
          </a:solidFill>
          <a:ln w="25400">
            <a:noFill/>
          </a:ln>
          <a:effectLst/>
        </c:spPr>
        <c:marker>
          <c:symbol val="none"/>
        </c:marker>
      </c:pivotFmt>
      <c:pivotFmt>
        <c:idx val="26"/>
        <c:spPr>
          <a:solidFill>
            <a:schemeClr val="accent1">
              <a:lumMod val="40000"/>
              <a:lumOff val="60000"/>
            </a:schemeClr>
          </a:solidFill>
          <a:ln w="25400">
            <a:noFill/>
          </a:ln>
          <a:effectLst/>
        </c:spPr>
        <c:marker>
          <c:symbol val="none"/>
        </c:marker>
      </c:pivotFmt>
      <c:pivotFmt>
        <c:idx val="27"/>
        <c:spPr>
          <a:solidFill>
            <a:schemeClr val="bg1"/>
          </a:solidFill>
          <a:ln w="25400">
            <a:noFill/>
          </a:ln>
          <a:effectLst/>
        </c:spPr>
        <c:marker>
          <c:symbol val="none"/>
        </c:marker>
      </c:pivotFmt>
      <c:pivotFmt>
        <c:idx val="28"/>
        <c:spPr>
          <a:solidFill>
            <a:schemeClr val="accent1"/>
          </a:solidFill>
          <a:ln w="25400">
            <a:noFill/>
          </a:ln>
          <a:effectLst/>
        </c:spPr>
        <c:marker>
          <c:symbol val="none"/>
        </c:marker>
      </c:pivotFmt>
      <c:pivotFmt>
        <c:idx val="29"/>
        <c:spPr>
          <a:solidFill>
            <a:schemeClr val="accent1">
              <a:lumMod val="40000"/>
              <a:lumOff val="60000"/>
            </a:schemeClr>
          </a:solidFill>
          <a:ln w="25400">
            <a:noFill/>
          </a:ln>
          <a:effectLst/>
        </c:spPr>
        <c:marker>
          <c:symbol val="none"/>
        </c:marker>
      </c:pivotFmt>
      <c:pivotFmt>
        <c:idx val="30"/>
        <c:spPr>
          <a:solidFill>
            <a:schemeClr val="bg1"/>
          </a:solidFill>
          <a:ln w="25400">
            <a:noFill/>
          </a:ln>
          <a:effectLst/>
        </c:spPr>
        <c:marker>
          <c:symbol val="none"/>
        </c:marker>
      </c:pivotFmt>
      <c:pivotFmt>
        <c:idx val="31"/>
        <c:spPr>
          <a:solidFill>
            <a:schemeClr val="accent1"/>
          </a:solidFill>
          <a:ln w="25400">
            <a:noFill/>
          </a:ln>
          <a:effectLst/>
        </c:spPr>
        <c:marker>
          <c:symbol val="none"/>
        </c:marker>
      </c:pivotFmt>
      <c:pivotFmt>
        <c:idx val="32"/>
        <c:spPr>
          <a:solidFill>
            <a:schemeClr val="accent1">
              <a:lumMod val="40000"/>
              <a:lumOff val="60000"/>
            </a:schemeClr>
          </a:solidFill>
          <a:ln w="25400">
            <a:noFill/>
          </a:ln>
          <a:effectLst/>
        </c:spPr>
        <c:marker>
          <c:symbol val="none"/>
        </c:marker>
      </c:pivotFmt>
      <c:pivotFmt>
        <c:idx val="33"/>
        <c:spPr>
          <a:solidFill>
            <a:schemeClr val="bg1"/>
          </a:solidFill>
          <a:ln w="25400">
            <a:noFill/>
          </a:ln>
          <a:effectLst/>
        </c:spPr>
        <c:marker>
          <c:symbol val="none"/>
        </c:marker>
      </c:pivotFmt>
      <c:pivotFmt>
        <c:idx val="34"/>
        <c:spPr>
          <a:solidFill>
            <a:schemeClr val="accent1"/>
          </a:solidFill>
          <a:ln w="25400">
            <a:noFill/>
          </a:ln>
          <a:effectLst/>
        </c:spPr>
        <c:marker>
          <c:symbol val="none"/>
        </c:marker>
      </c:pivotFmt>
      <c:pivotFmt>
        <c:idx val="35"/>
        <c:spPr>
          <a:solidFill>
            <a:schemeClr val="accent1">
              <a:lumMod val="40000"/>
              <a:lumOff val="60000"/>
            </a:schemeClr>
          </a:solidFill>
          <a:ln w="25400">
            <a:noFill/>
          </a:ln>
          <a:effectLst/>
        </c:spPr>
        <c:marker>
          <c:symbol val="none"/>
        </c:marker>
      </c:pivotFmt>
      <c:pivotFmt>
        <c:idx val="36"/>
        <c:spPr>
          <a:solidFill>
            <a:schemeClr val="bg1"/>
          </a:solidFill>
          <a:ln w="25400">
            <a:noFill/>
          </a:ln>
          <a:effectLst/>
        </c:spPr>
        <c:marker>
          <c:symbol val="none"/>
        </c:marker>
      </c:pivotFmt>
      <c:pivotFmt>
        <c:idx val="37"/>
        <c:spPr>
          <a:solidFill>
            <a:schemeClr val="accent1"/>
          </a:solidFill>
          <a:ln w="25400">
            <a:noFill/>
          </a:ln>
          <a:effectLst/>
        </c:spPr>
        <c:marker>
          <c:symbol val="none"/>
        </c:marker>
      </c:pivotFmt>
      <c:pivotFmt>
        <c:idx val="38"/>
        <c:spPr>
          <a:solidFill>
            <a:schemeClr val="accent1">
              <a:lumMod val="40000"/>
              <a:lumOff val="60000"/>
            </a:schemeClr>
          </a:solidFill>
          <a:ln w="25400">
            <a:noFill/>
          </a:ln>
          <a:effectLst/>
        </c:spPr>
        <c:marker>
          <c:symbol val="none"/>
        </c:marker>
      </c:pivotFmt>
      <c:pivotFmt>
        <c:idx val="39"/>
        <c:spPr>
          <a:solidFill>
            <a:schemeClr val="bg1"/>
          </a:solidFill>
          <a:ln w="25400">
            <a:noFill/>
          </a:ln>
          <a:effectLst/>
        </c:spPr>
        <c:marker>
          <c:symbol val="none"/>
        </c:marker>
      </c:pivotFmt>
      <c:pivotFmt>
        <c:idx val="40"/>
        <c:spPr>
          <a:solidFill>
            <a:schemeClr val="accent1"/>
          </a:solidFill>
          <a:ln w="25400">
            <a:noFill/>
          </a:ln>
          <a:effectLst/>
        </c:spPr>
        <c:marker>
          <c:symbol val="none"/>
        </c:marker>
      </c:pivotFmt>
      <c:pivotFmt>
        <c:idx val="41"/>
        <c:spPr>
          <a:solidFill>
            <a:schemeClr val="accent1">
              <a:lumMod val="40000"/>
              <a:lumOff val="60000"/>
            </a:schemeClr>
          </a:solidFill>
          <a:ln w="25400">
            <a:noFill/>
          </a:ln>
          <a:effectLst/>
        </c:spPr>
        <c:marker>
          <c:symbol val="none"/>
        </c:marker>
      </c:pivotFmt>
      <c:pivotFmt>
        <c:idx val="42"/>
        <c:spPr>
          <a:solidFill>
            <a:schemeClr val="bg1"/>
          </a:solidFill>
          <a:ln w="25400">
            <a:noFill/>
          </a:ln>
          <a:effectLst/>
        </c:spPr>
        <c:marker>
          <c:symbol val="none"/>
        </c:marker>
      </c:pivotFmt>
      <c:pivotFmt>
        <c:idx val="43"/>
        <c:spPr>
          <a:solidFill>
            <a:schemeClr val="accent1"/>
          </a:solidFill>
          <a:ln w="25400">
            <a:noFill/>
          </a:ln>
          <a:effectLst/>
        </c:spPr>
        <c:marker>
          <c:symbol val="none"/>
        </c:marker>
      </c:pivotFmt>
      <c:pivotFmt>
        <c:idx val="44"/>
        <c:spPr>
          <a:solidFill>
            <a:schemeClr val="accent1">
              <a:lumMod val="40000"/>
              <a:lumOff val="60000"/>
            </a:schemeClr>
          </a:solidFill>
          <a:ln w="25400">
            <a:noFill/>
          </a:ln>
          <a:effectLst/>
        </c:spPr>
        <c:marker>
          <c:symbol val="none"/>
        </c:marker>
      </c:pivotFmt>
      <c:pivotFmt>
        <c:idx val="45"/>
        <c:spPr>
          <a:solidFill>
            <a:schemeClr val="bg1"/>
          </a:solidFill>
          <a:ln w="25400">
            <a:noFill/>
          </a:ln>
          <a:effectLst/>
        </c:spPr>
        <c:marker>
          <c:symbol val="none"/>
        </c:marker>
      </c:pivotFmt>
      <c:pivotFmt>
        <c:idx val="46"/>
        <c:spPr>
          <a:solidFill>
            <a:schemeClr val="accent1"/>
          </a:solidFill>
          <a:ln w="25400">
            <a:noFill/>
          </a:ln>
          <a:effectLst/>
        </c:spPr>
        <c:marker>
          <c:symbol val="none"/>
        </c:marker>
      </c:pivotFmt>
      <c:pivotFmt>
        <c:idx val="47"/>
        <c:spPr>
          <a:solidFill>
            <a:schemeClr val="accent1">
              <a:lumMod val="40000"/>
              <a:lumOff val="60000"/>
            </a:schemeClr>
          </a:solidFill>
          <a:ln w="25400">
            <a:noFill/>
          </a:ln>
          <a:effectLst/>
        </c:spPr>
        <c:marker>
          <c:symbol val="none"/>
        </c:marker>
      </c:pivotFmt>
      <c:pivotFmt>
        <c:idx val="48"/>
        <c:spPr>
          <a:solidFill>
            <a:schemeClr val="bg1"/>
          </a:solidFill>
          <a:ln w="25400">
            <a:noFill/>
          </a:ln>
          <a:effectLst/>
        </c:spPr>
        <c:marker>
          <c:symbol val="none"/>
        </c:marker>
      </c:pivotFmt>
      <c:pivotFmt>
        <c:idx val="49"/>
        <c:spPr>
          <a:solidFill>
            <a:schemeClr val="accent1"/>
          </a:solidFill>
          <a:ln w="25400">
            <a:noFill/>
          </a:ln>
          <a:effectLst/>
        </c:spPr>
        <c:marker>
          <c:symbol val="none"/>
        </c:marker>
      </c:pivotFmt>
      <c:pivotFmt>
        <c:idx val="50"/>
        <c:spPr>
          <a:solidFill>
            <a:schemeClr val="accent1">
              <a:lumMod val="40000"/>
              <a:lumOff val="60000"/>
            </a:schemeClr>
          </a:solidFill>
          <a:ln w="25400">
            <a:noFill/>
          </a:ln>
          <a:effectLst/>
        </c:spPr>
        <c:marker>
          <c:symbol val="none"/>
        </c:marker>
      </c:pivotFmt>
      <c:pivotFmt>
        <c:idx val="51"/>
        <c:spPr>
          <a:solidFill>
            <a:schemeClr val="bg1"/>
          </a:solidFill>
          <a:ln w="25400">
            <a:noFill/>
          </a:ln>
          <a:effectLst/>
        </c:spPr>
        <c:marker>
          <c:symbol val="none"/>
        </c:marker>
      </c:pivotFmt>
      <c:pivotFmt>
        <c:idx val="52"/>
        <c:spPr>
          <a:solidFill>
            <a:schemeClr val="accent1"/>
          </a:solidFill>
          <a:ln w="25400">
            <a:noFill/>
          </a:ln>
          <a:effectLst/>
        </c:spPr>
        <c:marker>
          <c:symbol val="none"/>
        </c:marker>
      </c:pivotFmt>
      <c:pivotFmt>
        <c:idx val="53"/>
        <c:spPr>
          <a:solidFill>
            <a:schemeClr val="accent1">
              <a:lumMod val="40000"/>
              <a:lumOff val="60000"/>
            </a:schemeClr>
          </a:solidFill>
          <a:ln w="25400">
            <a:noFill/>
          </a:ln>
          <a:effectLst/>
        </c:spPr>
        <c:marker>
          <c:symbol val="none"/>
        </c:marker>
      </c:pivotFmt>
      <c:pivotFmt>
        <c:idx val="54"/>
        <c:spPr>
          <a:solidFill>
            <a:schemeClr val="bg1"/>
          </a:solidFill>
          <a:ln w="25400">
            <a:noFill/>
          </a:ln>
          <a:effectLst/>
        </c:spPr>
        <c:marker>
          <c:symbol val="none"/>
        </c:marker>
      </c:pivotFmt>
      <c:pivotFmt>
        <c:idx val="55"/>
        <c:spPr>
          <a:solidFill>
            <a:schemeClr val="accent1">
              <a:lumMod val="40000"/>
              <a:lumOff val="60000"/>
            </a:schemeClr>
          </a:solidFill>
          <a:ln>
            <a:noFill/>
          </a:ln>
          <a:effectLst/>
        </c:spPr>
        <c:marker>
          <c:symbol val="none"/>
        </c:marker>
      </c:pivotFmt>
      <c:pivotFmt>
        <c:idx val="56"/>
        <c:spPr>
          <a:solidFill>
            <a:schemeClr val="bg1"/>
          </a:solidFill>
          <a:ln>
            <a:solidFill>
              <a:schemeClr val="bg1"/>
            </a:solidFill>
          </a:ln>
          <a:effectLst/>
        </c:spPr>
        <c:marker>
          <c:symbol val="none"/>
        </c:marker>
      </c:pivotFmt>
      <c:pivotFmt>
        <c:idx val="57"/>
        <c:spPr>
          <a:solidFill>
            <a:schemeClr val="accent1"/>
          </a:solidFill>
          <a:ln w="28575" cap="rnd">
            <a:noFill/>
            <a:round/>
          </a:ln>
          <a:effectLst/>
        </c:spPr>
        <c:marker>
          <c:symbol val="circle"/>
          <c:size val="6"/>
          <c:spPr>
            <a:solidFill>
              <a:schemeClr val="tx1"/>
            </a:solidFill>
            <a:ln w="9525">
              <a:solidFill>
                <a:schemeClr val="accent1"/>
              </a:solidFill>
            </a:ln>
            <a:effectLst/>
          </c:spPr>
        </c:marker>
      </c:pivotFmt>
      <c:pivotFmt>
        <c:idx val="58"/>
        <c:spPr>
          <a:solidFill>
            <a:schemeClr val="accent1">
              <a:lumMod val="40000"/>
              <a:lumOff val="60000"/>
            </a:schemeClr>
          </a:solidFill>
          <a:ln>
            <a:noFill/>
          </a:ln>
          <a:effectLst/>
        </c:spPr>
        <c:marker>
          <c:symbol val="none"/>
        </c:marker>
      </c:pivotFmt>
      <c:pivotFmt>
        <c:idx val="59"/>
        <c:spPr>
          <a:solidFill>
            <a:schemeClr val="bg1"/>
          </a:solidFill>
          <a:ln>
            <a:solidFill>
              <a:schemeClr val="bg1"/>
            </a:solidFill>
          </a:ln>
          <a:effectLst/>
        </c:spPr>
        <c:marker>
          <c:symbol val="none"/>
        </c:marker>
      </c:pivotFmt>
      <c:pivotFmt>
        <c:idx val="60"/>
        <c:spPr>
          <a:solidFill>
            <a:schemeClr val="accent1"/>
          </a:solidFill>
          <a:ln w="28575" cap="rnd">
            <a:noFill/>
            <a:round/>
          </a:ln>
          <a:effectLst/>
        </c:spPr>
        <c:marker>
          <c:symbol val="circle"/>
          <c:size val="6"/>
          <c:spPr>
            <a:solidFill>
              <a:schemeClr val="tx1"/>
            </a:solidFill>
            <a:ln w="9525">
              <a:solidFill>
                <a:schemeClr val="accent1"/>
              </a:solidFill>
            </a:ln>
            <a:effectLst/>
          </c:spPr>
        </c:marker>
      </c:pivotFmt>
      <c:pivotFmt>
        <c:idx val="61"/>
        <c:spPr>
          <a:solidFill>
            <a:schemeClr val="accent1">
              <a:lumMod val="40000"/>
              <a:lumOff val="60000"/>
            </a:schemeClr>
          </a:solidFill>
          <a:ln>
            <a:noFill/>
          </a:ln>
          <a:effectLst/>
        </c:spPr>
        <c:marker>
          <c:symbol val="none"/>
        </c:marker>
      </c:pivotFmt>
      <c:pivotFmt>
        <c:idx val="62"/>
        <c:spPr>
          <a:solidFill>
            <a:schemeClr val="bg1"/>
          </a:solidFill>
          <a:ln>
            <a:solidFill>
              <a:schemeClr val="bg1"/>
            </a:solidFill>
          </a:ln>
          <a:effectLst/>
        </c:spPr>
        <c:marker>
          <c:symbol val="none"/>
        </c:marker>
      </c:pivotFmt>
      <c:pivotFmt>
        <c:idx val="63"/>
        <c:spPr>
          <a:solidFill>
            <a:schemeClr val="accent1"/>
          </a:solidFill>
          <a:ln w="28575" cap="rnd">
            <a:noFill/>
            <a:round/>
          </a:ln>
          <a:effectLst/>
        </c:spPr>
        <c:marker>
          <c:symbol val="circle"/>
          <c:size val="6"/>
          <c:spPr>
            <a:solidFill>
              <a:schemeClr val="tx1"/>
            </a:solidFill>
            <a:ln w="9525">
              <a:solidFill>
                <a:schemeClr val="accent1"/>
              </a:solidFill>
            </a:ln>
            <a:effectLst/>
          </c:spPr>
        </c:marker>
      </c:pivotFmt>
      <c:pivotFmt>
        <c:idx val="64"/>
        <c:spPr>
          <a:solidFill>
            <a:schemeClr val="accent1">
              <a:lumMod val="40000"/>
              <a:lumOff val="60000"/>
            </a:schemeClr>
          </a:solidFill>
          <a:ln>
            <a:noFill/>
          </a:ln>
          <a:effectLst/>
        </c:spPr>
        <c:marker>
          <c:symbol val="none"/>
        </c:marker>
      </c:pivotFmt>
      <c:pivotFmt>
        <c:idx val="65"/>
        <c:spPr>
          <a:solidFill>
            <a:schemeClr val="bg1"/>
          </a:solidFill>
          <a:ln>
            <a:solidFill>
              <a:schemeClr val="bg1"/>
            </a:solidFill>
          </a:ln>
          <a:effectLst/>
        </c:spPr>
        <c:marker>
          <c:symbol val="none"/>
        </c:marker>
      </c:pivotFmt>
      <c:pivotFmt>
        <c:idx val="66"/>
        <c:spPr>
          <a:solidFill>
            <a:schemeClr val="accent1"/>
          </a:solidFill>
          <a:ln w="28575" cap="rnd">
            <a:noFill/>
            <a:round/>
          </a:ln>
          <a:effectLst/>
        </c:spPr>
        <c:marker>
          <c:symbol val="circle"/>
          <c:size val="6"/>
          <c:spPr>
            <a:solidFill>
              <a:schemeClr val="tx1"/>
            </a:solidFill>
            <a:ln w="9525">
              <a:solidFill>
                <a:schemeClr val="accent1"/>
              </a:solidFill>
            </a:ln>
            <a:effectLst/>
          </c:spPr>
        </c:marker>
      </c:pivotFmt>
    </c:pivotFmts>
    <c:plotArea>
      <c:layout/>
      <c:barChart>
        <c:barDir val="col"/>
        <c:grouping val="clustered"/>
        <c:varyColors val="0"/>
        <c:ser>
          <c:idx val="1"/>
          <c:order val="1"/>
          <c:tx>
            <c:strRef>
              <c:f>'O3 Mortality OTR Chart S40'!$C$8</c:f>
              <c:strCache>
                <c:ptCount val="1"/>
                <c:pt idx="0">
                  <c:v>2 Standard Deviations</c:v>
                </c:pt>
              </c:strCache>
            </c:strRef>
          </c:tx>
          <c:spPr>
            <a:solidFill>
              <a:schemeClr val="accent1">
                <a:lumMod val="40000"/>
                <a:lumOff val="60000"/>
              </a:schemeClr>
            </a:solidFill>
            <a:ln>
              <a:noFill/>
            </a:ln>
            <a:effectLst/>
          </c:spPr>
          <c:invertIfNegative val="0"/>
          <c:cat>
            <c:multiLvlStrRef>
              <c:f>'O3 Mortality OTR Chart S40'!$A$9:$A$73</c:f>
              <c:multiLvlStrCache>
                <c:ptCount val="52"/>
                <c:lvl>
                  <c:pt idx="0">
                    <c:v>2013</c:v>
                  </c:pt>
                  <c:pt idx="1">
                    <c:v>2014</c:v>
                  </c:pt>
                  <c:pt idx="2">
                    <c:v>2015</c:v>
                  </c:pt>
                  <c:pt idx="3">
                    <c:v>2016</c:v>
                  </c:pt>
                  <c:pt idx="4">
                    <c:v>2013</c:v>
                  </c:pt>
                  <c:pt idx="5">
                    <c:v>2014</c:v>
                  </c:pt>
                  <c:pt idx="6">
                    <c:v>2015</c:v>
                  </c:pt>
                  <c:pt idx="7">
                    <c:v>2016</c:v>
                  </c:pt>
                  <c:pt idx="8">
                    <c:v>2013</c:v>
                  </c:pt>
                  <c:pt idx="9">
                    <c:v>2014</c:v>
                  </c:pt>
                  <c:pt idx="10">
                    <c:v>2015</c:v>
                  </c:pt>
                  <c:pt idx="11">
                    <c:v>2016</c:v>
                  </c:pt>
                  <c:pt idx="12">
                    <c:v>2013</c:v>
                  </c:pt>
                  <c:pt idx="13">
                    <c:v>2014</c:v>
                  </c:pt>
                  <c:pt idx="14">
                    <c:v>2015</c:v>
                  </c:pt>
                  <c:pt idx="15">
                    <c:v>2016</c:v>
                  </c:pt>
                  <c:pt idx="16">
                    <c:v>2013</c:v>
                  </c:pt>
                  <c:pt idx="17">
                    <c:v>2014</c:v>
                  </c:pt>
                  <c:pt idx="18">
                    <c:v>2015</c:v>
                  </c:pt>
                  <c:pt idx="19">
                    <c:v>2016</c:v>
                  </c:pt>
                  <c:pt idx="20">
                    <c:v>2013</c:v>
                  </c:pt>
                  <c:pt idx="21">
                    <c:v>2014</c:v>
                  </c:pt>
                  <c:pt idx="22">
                    <c:v>2015</c:v>
                  </c:pt>
                  <c:pt idx="23">
                    <c:v>2016</c:v>
                  </c:pt>
                  <c:pt idx="24">
                    <c:v>2013</c:v>
                  </c:pt>
                  <c:pt idx="25">
                    <c:v>2014</c:v>
                  </c:pt>
                  <c:pt idx="26">
                    <c:v>2015</c:v>
                  </c:pt>
                  <c:pt idx="27">
                    <c:v>2016</c:v>
                  </c:pt>
                  <c:pt idx="28">
                    <c:v>2013</c:v>
                  </c:pt>
                  <c:pt idx="29">
                    <c:v>2014</c:v>
                  </c:pt>
                  <c:pt idx="30">
                    <c:v>2015</c:v>
                  </c:pt>
                  <c:pt idx="31">
                    <c:v>2016</c:v>
                  </c:pt>
                  <c:pt idx="32">
                    <c:v>2013</c:v>
                  </c:pt>
                  <c:pt idx="33">
                    <c:v>2014</c:v>
                  </c:pt>
                  <c:pt idx="34">
                    <c:v>2015</c:v>
                  </c:pt>
                  <c:pt idx="35">
                    <c:v>2016</c:v>
                  </c:pt>
                  <c:pt idx="36">
                    <c:v>2013</c:v>
                  </c:pt>
                  <c:pt idx="37">
                    <c:v>2014</c:v>
                  </c:pt>
                  <c:pt idx="38">
                    <c:v>2015</c:v>
                  </c:pt>
                  <c:pt idx="39">
                    <c:v>2016</c:v>
                  </c:pt>
                  <c:pt idx="40">
                    <c:v>2013</c:v>
                  </c:pt>
                  <c:pt idx="41">
                    <c:v>2014</c:v>
                  </c:pt>
                  <c:pt idx="42">
                    <c:v>2015</c:v>
                  </c:pt>
                  <c:pt idx="43">
                    <c:v>2016</c:v>
                  </c:pt>
                  <c:pt idx="44">
                    <c:v>2013</c:v>
                  </c:pt>
                  <c:pt idx="45">
                    <c:v>2014</c:v>
                  </c:pt>
                  <c:pt idx="46">
                    <c:v>2015</c:v>
                  </c:pt>
                  <c:pt idx="47">
                    <c:v>2016</c:v>
                  </c:pt>
                  <c:pt idx="48">
                    <c:v>2013</c:v>
                  </c:pt>
                  <c:pt idx="49">
                    <c:v>2014</c:v>
                  </c:pt>
                  <c:pt idx="50">
                    <c:v>2015</c:v>
                  </c:pt>
                  <c:pt idx="51">
                    <c:v>2016</c:v>
                  </c:pt>
                </c:lvl>
                <c:lvl>
                  <c:pt idx="0">
                    <c:v>CT</c:v>
                  </c:pt>
                  <c:pt idx="4">
                    <c:v>DE</c:v>
                  </c:pt>
                  <c:pt idx="8">
                    <c:v>DC</c:v>
                  </c:pt>
                  <c:pt idx="12">
                    <c:v>ME</c:v>
                  </c:pt>
                  <c:pt idx="16">
                    <c:v>MD</c:v>
                  </c:pt>
                  <c:pt idx="20">
                    <c:v>MA</c:v>
                  </c:pt>
                  <c:pt idx="24">
                    <c:v>NH</c:v>
                  </c:pt>
                  <c:pt idx="28">
                    <c:v>NJ</c:v>
                  </c:pt>
                  <c:pt idx="32">
                    <c:v>NY</c:v>
                  </c:pt>
                  <c:pt idx="36">
                    <c:v>PA</c:v>
                  </c:pt>
                  <c:pt idx="40">
                    <c:v>RI</c:v>
                  </c:pt>
                  <c:pt idx="44">
                    <c:v>VT</c:v>
                  </c:pt>
                  <c:pt idx="48">
                    <c:v>VA-OTR</c:v>
                  </c:pt>
                </c:lvl>
              </c:multiLvlStrCache>
            </c:multiLvlStrRef>
          </c:cat>
          <c:val>
            <c:numRef>
              <c:f>'O3 Mortality OTR Chart S40'!$C$9:$C$73</c:f>
              <c:numCache>
                <c:formatCode>#,##0</c:formatCode>
                <c:ptCount val="52"/>
                <c:pt idx="0">
                  <c:v>222.26392364501982</c:v>
                </c:pt>
                <c:pt idx="1">
                  <c:v>213.63661193847682</c:v>
                </c:pt>
                <c:pt idx="2">
                  <c:v>241.40921020507761</c:v>
                </c:pt>
                <c:pt idx="3">
                  <c:v>238.94615173339878</c:v>
                </c:pt>
                <c:pt idx="4">
                  <c:v>47.787353515624979</c:v>
                </c:pt>
                <c:pt idx="5">
                  <c:v>52.450937271118157</c:v>
                </c:pt>
                <c:pt idx="6">
                  <c:v>64.430055618286104</c:v>
                </c:pt>
                <c:pt idx="7">
                  <c:v>63.3991088867188</c:v>
                </c:pt>
                <c:pt idx="8">
                  <c:v>21.683760166168241</c:v>
                </c:pt>
                <c:pt idx="9">
                  <c:v>-1.1034005880355879</c:v>
                </c:pt>
                <c:pt idx="10">
                  <c:v>30.21181106567386</c:v>
                </c:pt>
                <c:pt idx="11">
                  <c:v>25.19092845916748</c:v>
                </c:pt>
                <c:pt idx="12">
                  <c:v>48.173803329467781</c:v>
                </c:pt>
                <c:pt idx="13">
                  <c:v>57.509397506713881</c:v>
                </c:pt>
                <c:pt idx="14">
                  <c:v>47.32500076293946</c:v>
                </c:pt>
                <c:pt idx="15">
                  <c:v>42.415017127990737</c:v>
                </c:pt>
                <c:pt idx="16">
                  <c:v>339.21004486083962</c:v>
                </c:pt>
                <c:pt idx="17">
                  <c:v>320.40181732177763</c:v>
                </c:pt>
                <c:pt idx="18">
                  <c:v>450.48289489746139</c:v>
                </c:pt>
                <c:pt idx="19">
                  <c:v>428.89018249511702</c:v>
                </c:pt>
                <c:pt idx="20">
                  <c:v>280.89475250244141</c:v>
                </c:pt>
                <c:pt idx="21">
                  <c:v>226.3971023559568</c:v>
                </c:pt>
                <c:pt idx="22">
                  <c:v>272.08726501464901</c:v>
                </c:pt>
                <c:pt idx="23">
                  <c:v>298.82109069824259</c:v>
                </c:pt>
                <c:pt idx="24">
                  <c:v>50.363126754760714</c:v>
                </c:pt>
                <c:pt idx="25">
                  <c:v>48.29541397094728</c:v>
                </c:pt>
                <c:pt idx="26">
                  <c:v>57.218461990356438</c:v>
                </c:pt>
                <c:pt idx="27">
                  <c:v>56.019054412841761</c:v>
                </c:pt>
                <c:pt idx="28">
                  <c:v>477.90800476074202</c:v>
                </c:pt>
                <c:pt idx="29">
                  <c:v>537.97335815429744</c:v>
                </c:pt>
                <c:pt idx="30">
                  <c:v>588.22276306152389</c:v>
                </c:pt>
                <c:pt idx="31">
                  <c:v>570.31886291503906</c:v>
                </c:pt>
                <c:pt idx="32">
                  <c:v>902.83602905273506</c:v>
                </c:pt>
                <c:pt idx="33">
                  <c:v>844.19232177734398</c:v>
                </c:pt>
                <c:pt idx="34">
                  <c:v>1019.684478759766</c:v>
                </c:pt>
                <c:pt idx="35">
                  <c:v>993.30706787109398</c:v>
                </c:pt>
                <c:pt idx="36">
                  <c:v>857.94934082031398</c:v>
                </c:pt>
                <c:pt idx="37">
                  <c:v>775.44168090820403</c:v>
                </c:pt>
                <c:pt idx="38">
                  <c:v>1031.0706176757822</c:v>
                </c:pt>
                <c:pt idx="39">
                  <c:v>1008.8106384277351</c:v>
                </c:pt>
                <c:pt idx="40">
                  <c:v>59.236204147338896</c:v>
                </c:pt>
                <c:pt idx="41">
                  <c:v>52.384334564208956</c:v>
                </c:pt>
                <c:pt idx="42">
                  <c:v>66.251771926879798</c:v>
                </c:pt>
                <c:pt idx="43">
                  <c:v>64.290925979614201</c:v>
                </c:pt>
                <c:pt idx="44">
                  <c:v>29.060985565185518</c:v>
                </c:pt>
                <c:pt idx="45">
                  <c:v>27.133447647094741</c:v>
                </c:pt>
                <c:pt idx="46">
                  <c:v>30.166813850402797</c:v>
                </c:pt>
                <c:pt idx="47">
                  <c:v>28.137969970703082</c:v>
                </c:pt>
                <c:pt idx="48">
                  <c:v>77.546758651733398</c:v>
                </c:pt>
                <c:pt idx="49">
                  <c:v>83.123704910278292</c:v>
                </c:pt>
                <c:pt idx="50">
                  <c:v>109.9350090026856</c:v>
                </c:pt>
                <c:pt idx="51">
                  <c:v>104.3526229858399</c:v>
                </c:pt>
              </c:numCache>
            </c:numRef>
          </c:val>
        </c:ser>
        <c:ser>
          <c:idx val="2"/>
          <c:order val="2"/>
          <c:tx>
            <c:strRef>
              <c:f>'O3 Mortality OTR Chart S40'!$D$8</c:f>
              <c:strCache>
                <c:ptCount val="1"/>
                <c:pt idx="0">
                  <c:v> </c:v>
                </c:pt>
              </c:strCache>
            </c:strRef>
          </c:tx>
          <c:spPr>
            <a:solidFill>
              <a:schemeClr val="bg1"/>
            </a:solidFill>
            <a:ln>
              <a:solidFill>
                <a:schemeClr val="bg1"/>
              </a:solidFill>
            </a:ln>
            <a:effectLst/>
          </c:spPr>
          <c:invertIfNegative val="0"/>
          <c:cat>
            <c:multiLvlStrRef>
              <c:f>'O3 Mortality OTR Chart S40'!$A$9:$A$73</c:f>
              <c:multiLvlStrCache>
                <c:ptCount val="52"/>
                <c:lvl>
                  <c:pt idx="0">
                    <c:v>2013</c:v>
                  </c:pt>
                  <c:pt idx="1">
                    <c:v>2014</c:v>
                  </c:pt>
                  <c:pt idx="2">
                    <c:v>2015</c:v>
                  </c:pt>
                  <c:pt idx="3">
                    <c:v>2016</c:v>
                  </c:pt>
                  <c:pt idx="4">
                    <c:v>2013</c:v>
                  </c:pt>
                  <c:pt idx="5">
                    <c:v>2014</c:v>
                  </c:pt>
                  <c:pt idx="6">
                    <c:v>2015</c:v>
                  </c:pt>
                  <c:pt idx="7">
                    <c:v>2016</c:v>
                  </c:pt>
                  <c:pt idx="8">
                    <c:v>2013</c:v>
                  </c:pt>
                  <c:pt idx="9">
                    <c:v>2014</c:v>
                  </c:pt>
                  <c:pt idx="10">
                    <c:v>2015</c:v>
                  </c:pt>
                  <c:pt idx="11">
                    <c:v>2016</c:v>
                  </c:pt>
                  <c:pt idx="12">
                    <c:v>2013</c:v>
                  </c:pt>
                  <c:pt idx="13">
                    <c:v>2014</c:v>
                  </c:pt>
                  <c:pt idx="14">
                    <c:v>2015</c:v>
                  </c:pt>
                  <c:pt idx="15">
                    <c:v>2016</c:v>
                  </c:pt>
                  <c:pt idx="16">
                    <c:v>2013</c:v>
                  </c:pt>
                  <c:pt idx="17">
                    <c:v>2014</c:v>
                  </c:pt>
                  <c:pt idx="18">
                    <c:v>2015</c:v>
                  </c:pt>
                  <c:pt idx="19">
                    <c:v>2016</c:v>
                  </c:pt>
                  <c:pt idx="20">
                    <c:v>2013</c:v>
                  </c:pt>
                  <c:pt idx="21">
                    <c:v>2014</c:v>
                  </c:pt>
                  <c:pt idx="22">
                    <c:v>2015</c:v>
                  </c:pt>
                  <c:pt idx="23">
                    <c:v>2016</c:v>
                  </c:pt>
                  <c:pt idx="24">
                    <c:v>2013</c:v>
                  </c:pt>
                  <c:pt idx="25">
                    <c:v>2014</c:v>
                  </c:pt>
                  <c:pt idx="26">
                    <c:v>2015</c:v>
                  </c:pt>
                  <c:pt idx="27">
                    <c:v>2016</c:v>
                  </c:pt>
                  <c:pt idx="28">
                    <c:v>2013</c:v>
                  </c:pt>
                  <c:pt idx="29">
                    <c:v>2014</c:v>
                  </c:pt>
                  <c:pt idx="30">
                    <c:v>2015</c:v>
                  </c:pt>
                  <c:pt idx="31">
                    <c:v>2016</c:v>
                  </c:pt>
                  <c:pt idx="32">
                    <c:v>2013</c:v>
                  </c:pt>
                  <c:pt idx="33">
                    <c:v>2014</c:v>
                  </c:pt>
                  <c:pt idx="34">
                    <c:v>2015</c:v>
                  </c:pt>
                  <c:pt idx="35">
                    <c:v>2016</c:v>
                  </c:pt>
                  <c:pt idx="36">
                    <c:v>2013</c:v>
                  </c:pt>
                  <c:pt idx="37">
                    <c:v>2014</c:v>
                  </c:pt>
                  <c:pt idx="38">
                    <c:v>2015</c:v>
                  </c:pt>
                  <c:pt idx="39">
                    <c:v>2016</c:v>
                  </c:pt>
                  <c:pt idx="40">
                    <c:v>2013</c:v>
                  </c:pt>
                  <c:pt idx="41">
                    <c:v>2014</c:v>
                  </c:pt>
                  <c:pt idx="42">
                    <c:v>2015</c:v>
                  </c:pt>
                  <c:pt idx="43">
                    <c:v>2016</c:v>
                  </c:pt>
                  <c:pt idx="44">
                    <c:v>2013</c:v>
                  </c:pt>
                  <c:pt idx="45">
                    <c:v>2014</c:v>
                  </c:pt>
                  <c:pt idx="46">
                    <c:v>2015</c:v>
                  </c:pt>
                  <c:pt idx="47">
                    <c:v>2016</c:v>
                  </c:pt>
                  <c:pt idx="48">
                    <c:v>2013</c:v>
                  </c:pt>
                  <c:pt idx="49">
                    <c:v>2014</c:v>
                  </c:pt>
                  <c:pt idx="50">
                    <c:v>2015</c:v>
                  </c:pt>
                  <c:pt idx="51">
                    <c:v>2016</c:v>
                  </c:pt>
                </c:lvl>
                <c:lvl>
                  <c:pt idx="0">
                    <c:v>CT</c:v>
                  </c:pt>
                  <c:pt idx="4">
                    <c:v>DE</c:v>
                  </c:pt>
                  <c:pt idx="8">
                    <c:v>DC</c:v>
                  </c:pt>
                  <c:pt idx="12">
                    <c:v>ME</c:v>
                  </c:pt>
                  <c:pt idx="16">
                    <c:v>MD</c:v>
                  </c:pt>
                  <c:pt idx="20">
                    <c:v>MA</c:v>
                  </c:pt>
                  <c:pt idx="24">
                    <c:v>NH</c:v>
                  </c:pt>
                  <c:pt idx="28">
                    <c:v>NJ</c:v>
                  </c:pt>
                  <c:pt idx="32">
                    <c:v>NY</c:v>
                  </c:pt>
                  <c:pt idx="36">
                    <c:v>PA</c:v>
                  </c:pt>
                  <c:pt idx="40">
                    <c:v>RI</c:v>
                  </c:pt>
                  <c:pt idx="44">
                    <c:v>VT</c:v>
                  </c:pt>
                  <c:pt idx="48">
                    <c:v>VA-OTR</c:v>
                  </c:pt>
                </c:lvl>
              </c:multiLvlStrCache>
            </c:multiLvlStrRef>
          </c:cat>
          <c:val>
            <c:numRef>
              <c:f>'O3 Mortality OTR Chart S40'!$D$9:$D$73</c:f>
              <c:numCache>
                <c:formatCode>#,##0</c:formatCode>
                <c:ptCount val="52"/>
                <c:pt idx="0">
                  <c:v>74.67931365966821</c:v>
                </c:pt>
                <c:pt idx="1">
                  <c:v>71.884292602539205</c:v>
                </c:pt>
                <c:pt idx="2">
                  <c:v>81.155456542968409</c:v>
                </c:pt>
                <c:pt idx="3">
                  <c:v>80.351028442383196</c:v>
                </c:pt>
                <c:pt idx="4">
                  <c:v>16.024475097656222</c:v>
                </c:pt>
                <c:pt idx="5">
                  <c:v>17.65028953552244</c:v>
                </c:pt>
                <c:pt idx="6">
                  <c:v>21.6494045257569</c:v>
                </c:pt>
                <c:pt idx="7">
                  <c:v>21.300643920898402</c:v>
                </c:pt>
                <c:pt idx="8">
                  <c:v>7.2731986045837598</c:v>
                </c:pt>
                <c:pt idx="9">
                  <c:v>-3.4842640161514318</c:v>
                </c:pt>
                <c:pt idx="10">
                  <c:v>10.158710479736339</c:v>
                </c:pt>
                <c:pt idx="11">
                  <c:v>8.4614152908325195</c:v>
                </c:pt>
                <c:pt idx="12">
                  <c:v>16.119211196899421</c:v>
                </c:pt>
                <c:pt idx="13">
                  <c:v>19.324701309204119</c:v>
                </c:pt>
                <c:pt idx="14">
                  <c:v>15.832214355468741</c:v>
                </c:pt>
                <c:pt idx="15">
                  <c:v>14.18367290496826</c:v>
                </c:pt>
                <c:pt idx="16">
                  <c:v>113.77686309814439</c:v>
                </c:pt>
                <c:pt idx="17">
                  <c:v>107.70355987548841</c:v>
                </c:pt>
                <c:pt idx="18">
                  <c:v>151.4196929931646</c:v>
                </c:pt>
                <c:pt idx="19">
                  <c:v>144.12403869628901</c:v>
                </c:pt>
                <c:pt idx="20">
                  <c:v>94.173637390136605</c:v>
                </c:pt>
                <c:pt idx="21">
                  <c:v>76.106956481933196</c:v>
                </c:pt>
                <c:pt idx="22">
                  <c:v>91.192276000977017</c:v>
                </c:pt>
                <c:pt idx="23">
                  <c:v>100.21336364746139</c:v>
                </c:pt>
                <c:pt idx="24">
                  <c:v>16.859346389770476</c:v>
                </c:pt>
                <c:pt idx="25">
                  <c:v>16.225139617919922</c:v>
                </c:pt>
                <c:pt idx="26">
                  <c:v>19.16015434265136</c:v>
                </c:pt>
                <c:pt idx="27">
                  <c:v>18.765827178955043</c:v>
                </c:pt>
                <c:pt idx="28">
                  <c:v>160.37922668457003</c:v>
                </c:pt>
                <c:pt idx="29">
                  <c:v>180.94436645507861</c:v>
                </c:pt>
                <c:pt idx="30">
                  <c:v>197.70625305175821</c:v>
                </c:pt>
                <c:pt idx="31">
                  <c:v>191.63816833496099</c:v>
                </c:pt>
                <c:pt idx="32">
                  <c:v>302.91629028320295</c:v>
                </c:pt>
                <c:pt idx="33">
                  <c:v>283.67681884765602</c:v>
                </c:pt>
                <c:pt idx="34">
                  <c:v>342.41488647460994</c:v>
                </c:pt>
                <c:pt idx="35">
                  <c:v>333.38824462890602</c:v>
                </c:pt>
                <c:pt idx="36">
                  <c:v>287.72326660156193</c:v>
                </c:pt>
                <c:pt idx="37">
                  <c:v>260.70162963867193</c:v>
                </c:pt>
                <c:pt idx="38">
                  <c:v>346.25469970703</c:v>
                </c:pt>
                <c:pt idx="39">
                  <c:v>338.68093872070295</c:v>
                </c:pt>
                <c:pt idx="40">
                  <c:v>19.879991531372099</c:v>
                </c:pt>
                <c:pt idx="41">
                  <c:v>17.585742950439439</c:v>
                </c:pt>
                <c:pt idx="42">
                  <c:v>22.249761581420998</c:v>
                </c:pt>
                <c:pt idx="43">
                  <c:v>21.591558456420998</c:v>
                </c:pt>
                <c:pt idx="44">
                  <c:v>9.7269287109374787</c:v>
                </c:pt>
                <c:pt idx="45">
                  <c:v>9.1037731170654599</c:v>
                </c:pt>
                <c:pt idx="46">
                  <c:v>10.096339225768999</c:v>
                </c:pt>
                <c:pt idx="47">
                  <c:v>9.4188385009765216</c:v>
                </c:pt>
                <c:pt idx="48">
                  <c:v>25.995866775512596</c:v>
                </c:pt>
                <c:pt idx="49">
                  <c:v>27.930738449096701</c:v>
                </c:pt>
                <c:pt idx="50">
                  <c:v>36.935596466064403</c:v>
                </c:pt>
                <c:pt idx="51">
                  <c:v>35.045082092285099</c:v>
                </c:pt>
              </c:numCache>
            </c:numRef>
          </c:val>
        </c:ser>
        <c:dLbls>
          <c:showLegendKey val="0"/>
          <c:showVal val="0"/>
          <c:showCatName val="0"/>
          <c:showSerName val="0"/>
          <c:showPercent val="0"/>
          <c:showBubbleSize val="0"/>
        </c:dLbls>
        <c:gapWidth val="500"/>
        <c:overlap val="100"/>
        <c:axId val="138690728"/>
        <c:axId val="138691120"/>
      </c:barChart>
      <c:lineChart>
        <c:grouping val="standard"/>
        <c:varyColors val="0"/>
        <c:ser>
          <c:idx val="0"/>
          <c:order val="0"/>
          <c:tx>
            <c:strRef>
              <c:f>'O3 Mortality OTR Chart S40'!$B$8</c:f>
              <c:strCache>
                <c:ptCount val="1"/>
                <c:pt idx="0">
                  <c:v>Mean Mortality</c:v>
                </c:pt>
              </c:strCache>
            </c:strRef>
          </c:tx>
          <c:spPr>
            <a:ln w="28575" cap="rnd">
              <a:noFill/>
              <a:round/>
            </a:ln>
            <a:effectLst/>
          </c:spPr>
          <c:marker>
            <c:symbol val="circle"/>
            <c:size val="6"/>
            <c:spPr>
              <a:solidFill>
                <a:schemeClr val="tx1"/>
              </a:solidFill>
              <a:ln w="9525">
                <a:solidFill>
                  <a:schemeClr val="accent1"/>
                </a:solidFill>
              </a:ln>
              <a:effectLst/>
            </c:spPr>
          </c:marker>
          <c:cat>
            <c:multiLvlStrRef>
              <c:f>'O3 Mortality OTR Chart S40'!$A$9:$A$73</c:f>
              <c:multiLvlStrCache>
                <c:ptCount val="52"/>
                <c:lvl>
                  <c:pt idx="0">
                    <c:v>2013</c:v>
                  </c:pt>
                  <c:pt idx="1">
                    <c:v>2014</c:v>
                  </c:pt>
                  <c:pt idx="2">
                    <c:v>2015</c:v>
                  </c:pt>
                  <c:pt idx="3">
                    <c:v>2016</c:v>
                  </c:pt>
                  <c:pt idx="4">
                    <c:v>2013</c:v>
                  </c:pt>
                  <c:pt idx="5">
                    <c:v>2014</c:v>
                  </c:pt>
                  <c:pt idx="6">
                    <c:v>2015</c:v>
                  </c:pt>
                  <c:pt idx="7">
                    <c:v>2016</c:v>
                  </c:pt>
                  <c:pt idx="8">
                    <c:v>2013</c:v>
                  </c:pt>
                  <c:pt idx="9">
                    <c:v>2014</c:v>
                  </c:pt>
                  <c:pt idx="10">
                    <c:v>2015</c:v>
                  </c:pt>
                  <c:pt idx="11">
                    <c:v>2016</c:v>
                  </c:pt>
                  <c:pt idx="12">
                    <c:v>2013</c:v>
                  </c:pt>
                  <c:pt idx="13">
                    <c:v>2014</c:v>
                  </c:pt>
                  <c:pt idx="14">
                    <c:v>2015</c:v>
                  </c:pt>
                  <c:pt idx="15">
                    <c:v>2016</c:v>
                  </c:pt>
                  <c:pt idx="16">
                    <c:v>2013</c:v>
                  </c:pt>
                  <c:pt idx="17">
                    <c:v>2014</c:v>
                  </c:pt>
                  <c:pt idx="18">
                    <c:v>2015</c:v>
                  </c:pt>
                  <c:pt idx="19">
                    <c:v>2016</c:v>
                  </c:pt>
                  <c:pt idx="20">
                    <c:v>2013</c:v>
                  </c:pt>
                  <c:pt idx="21">
                    <c:v>2014</c:v>
                  </c:pt>
                  <c:pt idx="22">
                    <c:v>2015</c:v>
                  </c:pt>
                  <c:pt idx="23">
                    <c:v>2016</c:v>
                  </c:pt>
                  <c:pt idx="24">
                    <c:v>2013</c:v>
                  </c:pt>
                  <c:pt idx="25">
                    <c:v>2014</c:v>
                  </c:pt>
                  <c:pt idx="26">
                    <c:v>2015</c:v>
                  </c:pt>
                  <c:pt idx="27">
                    <c:v>2016</c:v>
                  </c:pt>
                  <c:pt idx="28">
                    <c:v>2013</c:v>
                  </c:pt>
                  <c:pt idx="29">
                    <c:v>2014</c:v>
                  </c:pt>
                  <c:pt idx="30">
                    <c:v>2015</c:v>
                  </c:pt>
                  <c:pt idx="31">
                    <c:v>2016</c:v>
                  </c:pt>
                  <c:pt idx="32">
                    <c:v>2013</c:v>
                  </c:pt>
                  <c:pt idx="33">
                    <c:v>2014</c:v>
                  </c:pt>
                  <c:pt idx="34">
                    <c:v>2015</c:v>
                  </c:pt>
                  <c:pt idx="35">
                    <c:v>2016</c:v>
                  </c:pt>
                  <c:pt idx="36">
                    <c:v>2013</c:v>
                  </c:pt>
                  <c:pt idx="37">
                    <c:v>2014</c:v>
                  </c:pt>
                  <c:pt idx="38">
                    <c:v>2015</c:v>
                  </c:pt>
                  <c:pt idx="39">
                    <c:v>2016</c:v>
                  </c:pt>
                  <c:pt idx="40">
                    <c:v>2013</c:v>
                  </c:pt>
                  <c:pt idx="41">
                    <c:v>2014</c:v>
                  </c:pt>
                  <c:pt idx="42">
                    <c:v>2015</c:v>
                  </c:pt>
                  <c:pt idx="43">
                    <c:v>2016</c:v>
                  </c:pt>
                  <c:pt idx="44">
                    <c:v>2013</c:v>
                  </c:pt>
                  <c:pt idx="45">
                    <c:v>2014</c:v>
                  </c:pt>
                  <c:pt idx="46">
                    <c:v>2015</c:v>
                  </c:pt>
                  <c:pt idx="47">
                    <c:v>2016</c:v>
                  </c:pt>
                  <c:pt idx="48">
                    <c:v>2013</c:v>
                  </c:pt>
                  <c:pt idx="49">
                    <c:v>2014</c:v>
                  </c:pt>
                  <c:pt idx="50">
                    <c:v>2015</c:v>
                  </c:pt>
                  <c:pt idx="51">
                    <c:v>2016</c:v>
                  </c:pt>
                </c:lvl>
                <c:lvl>
                  <c:pt idx="0">
                    <c:v>CT</c:v>
                  </c:pt>
                  <c:pt idx="4">
                    <c:v>DE</c:v>
                  </c:pt>
                  <c:pt idx="8">
                    <c:v>DC</c:v>
                  </c:pt>
                  <c:pt idx="12">
                    <c:v>ME</c:v>
                  </c:pt>
                  <c:pt idx="16">
                    <c:v>MD</c:v>
                  </c:pt>
                  <c:pt idx="20">
                    <c:v>MA</c:v>
                  </c:pt>
                  <c:pt idx="24">
                    <c:v>NH</c:v>
                  </c:pt>
                  <c:pt idx="28">
                    <c:v>NJ</c:v>
                  </c:pt>
                  <c:pt idx="32">
                    <c:v>NY</c:v>
                  </c:pt>
                  <c:pt idx="36">
                    <c:v>PA</c:v>
                  </c:pt>
                  <c:pt idx="40">
                    <c:v>RI</c:v>
                  </c:pt>
                  <c:pt idx="44">
                    <c:v>VT</c:v>
                  </c:pt>
                  <c:pt idx="48">
                    <c:v>VA-OTR</c:v>
                  </c:pt>
                </c:lvl>
              </c:multiLvlStrCache>
            </c:multiLvlStrRef>
          </c:cat>
          <c:val>
            <c:numRef>
              <c:f>'O3 Mortality OTR Chart S40'!$B$9:$B$73</c:f>
              <c:numCache>
                <c:formatCode>#,##0</c:formatCode>
                <c:ptCount val="52"/>
                <c:pt idx="0">
                  <c:v>148.47161865234401</c:v>
                </c:pt>
                <c:pt idx="1">
                  <c:v>142.76045227050801</c:v>
                </c:pt>
                <c:pt idx="2">
                  <c:v>161.28233337402301</c:v>
                </c:pt>
                <c:pt idx="3">
                  <c:v>159.64859008789099</c:v>
                </c:pt>
                <c:pt idx="4">
                  <c:v>31.9059143066406</c:v>
                </c:pt>
                <c:pt idx="5">
                  <c:v>35.050613403320298</c:v>
                </c:pt>
                <c:pt idx="6">
                  <c:v>43.039730072021499</c:v>
                </c:pt>
                <c:pt idx="7">
                  <c:v>42.349876403808601</c:v>
                </c:pt>
                <c:pt idx="8">
                  <c:v>14.478479385376</c:v>
                </c:pt>
                <c:pt idx="9">
                  <c:v>-2.2938323020935099</c:v>
                </c:pt>
                <c:pt idx="10">
                  <c:v>20.185260772705099</c:v>
                </c:pt>
                <c:pt idx="11">
                  <c:v>16.826171875</c:v>
                </c:pt>
                <c:pt idx="12">
                  <c:v>32.146507263183601</c:v>
                </c:pt>
                <c:pt idx="13">
                  <c:v>38.417049407958999</c:v>
                </c:pt>
                <c:pt idx="14">
                  <c:v>31.578607559204102</c:v>
                </c:pt>
                <c:pt idx="15">
                  <c:v>28.299345016479499</c:v>
                </c:pt>
                <c:pt idx="16">
                  <c:v>226.49345397949199</c:v>
                </c:pt>
                <c:pt idx="17">
                  <c:v>214.05268859863301</c:v>
                </c:pt>
                <c:pt idx="18">
                  <c:v>300.95129394531301</c:v>
                </c:pt>
                <c:pt idx="19">
                  <c:v>286.50711059570301</c:v>
                </c:pt>
                <c:pt idx="20">
                  <c:v>187.53419494628901</c:v>
                </c:pt>
                <c:pt idx="21">
                  <c:v>151.252029418945</c:v>
                </c:pt>
                <c:pt idx="22">
                  <c:v>181.63977050781301</c:v>
                </c:pt>
                <c:pt idx="23">
                  <c:v>199.51722717285199</c:v>
                </c:pt>
                <c:pt idx="24">
                  <c:v>33.611236572265597</c:v>
                </c:pt>
                <c:pt idx="25">
                  <c:v>32.260276794433601</c:v>
                </c:pt>
                <c:pt idx="26">
                  <c:v>38.189308166503899</c:v>
                </c:pt>
                <c:pt idx="27">
                  <c:v>37.392440795898402</c:v>
                </c:pt>
                <c:pt idx="28">
                  <c:v>319.14361572265602</c:v>
                </c:pt>
                <c:pt idx="29">
                  <c:v>359.45886230468801</c:v>
                </c:pt>
                <c:pt idx="30">
                  <c:v>392.96450805664102</c:v>
                </c:pt>
                <c:pt idx="31">
                  <c:v>380.978515625</c:v>
                </c:pt>
                <c:pt idx="32">
                  <c:v>602.87615966796898</c:v>
                </c:pt>
                <c:pt idx="33">
                  <c:v>563.9345703125</c:v>
                </c:pt>
                <c:pt idx="34">
                  <c:v>681.04968261718795</c:v>
                </c:pt>
                <c:pt idx="35">
                  <c:v>663.34765625</c:v>
                </c:pt>
                <c:pt idx="36">
                  <c:v>572.83630371093795</c:v>
                </c:pt>
                <c:pt idx="37">
                  <c:v>518.07165527343795</c:v>
                </c:pt>
                <c:pt idx="38">
                  <c:v>688.66265869140602</c:v>
                </c:pt>
                <c:pt idx="39">
                  <c:v>673.74578857421898</c:v>
                </c:pt>
                <c:pt idx="40">
                  <c:v>39.558097839355497</c:v>
                </c:pt>
                <c:pt idx="41">
                  <c:v>34.985038757324197</c:v>
                </c:pt>
                <c:pt idx="42">
                  <c:v>44.250766754150398</c:v>
                </c:pt>
                <c:pt idx="43">
                  <c:v>42.941242218017599</c:v>
                </c:pt>
                <c:pt idx="44">
                  <c:v>19.393957138061499</c:v>
                </c:pt>
                <c:pt idx="45">
                  <c:v>18.118610382080099</c:v>
                </c:pt>
                <c:pt idx="46">
                  <c:v>20.131576538085898</c:v>
                </c:pt>
                <c:pt idx="47">
                  <c:v>18.778404235839801</c:v>
                </c:pt>
                <c:pt idx="48">
                  <c:v>51.771312713622997</c:v>
                </c:pt>
                <c:pt idx="49">
                  <c:v>55.5272216796875</c:v>
                </c:pt>
                <c:pt idx="50">
                  <c:v>73.435302734375</c:v>
                </c:pt>
                <c:pt idx="51">
                  <c:v>69.6988525390625</c:v>
                </c:pt>
              </c:numCache>
            </c:numRef>
          </c:val>
          <c:smooth val="0"/>
        </c:ser>
        <c:dLbls>
          <c:showLegendKey val="0"/>
          <c:showVal val="0"/>
          <c:showCatName val="0"/>
          <c:showSerName val="0"/>
          <c:showPercent val="0"/>
          <c:showBubbleSize val="0"/>
        </c:dLbls>
        <c:marker val="1"/>
        <c:smooth val="0"/>
        <c:axId val="138690728"/>
        <c:axId val="138691120"/>
      </c:lineChart>
      <c:catAx>
        <c:axId val="138690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38691120"/>
        <c:crosses val="autoZero"/>
        <c:auto val="1"/>
        <c:lblAlgn val="ctr"/>
        <c:lblOffset val="100"/>
        <c:noMultiLvlLbl val="0"/>
      </c:catAx>
      <c:valAx>
        <c:axId val="138691120"/>
        <c:scaling>
          <c:orientation val="minMax"/>
          <c:max val="12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8690728"/>
        <c:crosses val="autoZero"/>
        <c:crossBetween val="between"/>
      </c:valAx>
      <c:spPr>
        <a:noFill/>
        <a:ln>
          <a:noFill/>
        </a:ln>
        <a:effectLst/>
      </c:spPr>
    </c:plotArea>
    <c:legend>
      <c:legendPos val="t"/>
      <c:layout>
        <c:manualLayout>
          <c:xMode val="edge"/>
          <c:yMode val="edge"/>
          <c:x val="8.0288545662561411E-2"/>
          <c:y val="3.962525517643628E-2"/>
          <c:w val="0.38593832020997376"/>
          <c:h val="0.1398002333041703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[BenMap Rollback Analysis Results - v1.3.52.xlsx]O3 Economic Pivot S70!PivotTable2</c:name>
    <c:fmtId val="18"/>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w="28575" cap="rnd">
            <a:noFill/>
            <a:round/>
          </a:ln>
          <a:effectLst/>
        </c:spPr>
        <c:marker>
          <c:symbol val="circle"/>
          <c:size val="6"/>
          <c:spPr>
            <a:solidFill>
              <a:schemeClr val="tx1"/>
            </a:solidFill>
            <a:ln w="9525">
              <a:noFill/>
            </a:ln>
            <a:effectLst/>
          </c:spPr>
        </c:marker>
      </c:pivotFmt>
      <c:pivotFmt>
        <c:idx val="7"/>
        <c:spPr>
          <a:solidFill>
            <a:schemeClr val="accent6">
              <a:lumMod val="40000"/>
              <a:lumOff val="60000"/>
            </a:schemeClr>
          </a:solidFill>
          <a:ln>
            <a:noFill/>
          </a:ln>
          <a:effectLst/>
        </c:spPr>
        <c:marker>
          <c:symbol val="none"/>
        </c:marker>
      </c:pivotFmt>
      <c:pivotFmt>
        <c:idx val="8"/>
        <c:spPr>
          <a:solidFill>
            <a:schemeClr val="bg1"/>
          </a:solidFill>
          <a:ln>
            <a:noFill/>
          </a:ln>
          <a:effectLst/>
        </c:spPr>
        <c:marker>
          <c:symbol val="none"/>
        </c:marker>
      </c:pivotFmt>
      <c:pivotFmt>
        <c:idx val="9"/>
        <c:spPr>
          <a:solidFill>
            <a:schemeClr val="accent6">
              <a:lumMod val="40000"/>
              <a:lumOff val="60000"/>
            </a:schemeClr>
          </a:solidFill>
          <a:ln>
            <a:noFill/>
          </a:ln>
          <a:effectLst/>
        </c:spPr>
      </c:pivotFmt>
      <c:pivotFmt>
        <c:idx val="10"/>
        <c:spPr>
          <a:solidFill>
            <a:schemeClr val="accent6">
              <a:lumMod val="40000"/>
              <a:lumOff val="60000"/>
            </a:schemeClr>
          </a:solidFill>
          <a:ln>
            <a:noFill/>
          </a:ln>
          <a:effectLst/>
        </c:spPr>
        <c:marker>
          <c:symbol val="none"/>
        </c:marker>
      </c:pivotFmt>
      <c:pivotFmt>
        <c:idx val="11"/>
        <c:spPr>
          <a:solidFill>
            <a:schemeClr val="bg1"/>
          </a:solidFill>
          <a:ln>
            <a:noFill/>
          </a:ln>
          <a:effectLst/>
        </c:spPr>
        <c:marker>
          <c:symbol val="none"/>
        </c:marker>
      </c:pivotFmt>
      <c:pivotFmt>
        <c:idx val="12"/>
        <c:spPr>
          <a:solidFill>
            <a:schemeClr val="accent1"/>
          </a:solidFill>
          <a:ln w="28575" cap="rnd">
            <a:noFill/>
            <a:round/>
          </a:ln>
          <a:effectLst/>
        </c:spPr>
        <c:marker>
          <c:symbol val="circle"/>
          <c:size val="6"/>
          <c:spPr>
            <a:solidFill>
              <a:schemeClr val="tx1"/>
            </a:solidFill>
            <a:ln w="9525">
              <a:noFill/>
            </a:ln>
            <a:effectLst/>
          </c:spPr>
        </c:marker>
      </c:pivotFmt>
      <c:pivotFmt>
        <c:idx val="13"/>
        <c:spPr>
          <a:solidFill>
            <a:schemeClr val="accent6">
              <a:lumMod val="40000"/>
              <a:lumOff val="60000"/>
            </a:schemeClr>
          </a:solidFill>
          <a:ln>
            <a:noFill/>
          </a:ln>
          <a:effectLst/>
        </c:spPr>
        <c:marker>
          <c:symbol val="none"/>
        </c:marker>
      </c:pivotFmt>
      <c:pivotFmt>
        <c:idx val="14"/>
        <c:spPr>
          <a:solidFill>
            <a:schemeClr val="bg1"/>
          </a:solidFill>
          <a:ln>
            <a:noFill/>
          </a:ln>
          <a:effectLst/>
        </c:spPr>
        <c:marker>
          <c:symbol val="none"/>
        </c:marker>
      </c:pivotFmt>
      <c:pivotFmt>
        <c:idx val="15"/>
        <c:spPr>
          <a:solidFill>
            <a:schemeClr val="accent1"/>
          </a:solidFill>
          <a:ln w="28575" cap="rnd">
            <a:noFill/>
            <a:round/>
          </a:ln>
          <a:effectLst/>
        </c:spPr>
        <c:marker>
          <c:symbol val="circle"/>
          <c:size val="6"/>
          <c:spPr>
            <a:solidFill>
              <a:schemeClr val="tx1"/>
            </a:solidFill>
            <a:ln w="9525">
              <a:noFill/>
            </a:ln>
            <a:effectLst/>
          </c:spPr>
        </c:marker>
      </c:pivotFmt>
    </c:pivotFmts>
    <c:plotArea>
      <c:layout/>
      <c:barChart>
        <c:barDir val="col"/>
        <c:grouping val="clustered"/>
        <c:varyColors val="0"/>
        <c:ser>
          <c:idx val="1"/>
          <c:order val="1"/>
          <c:tx>
            <c:strRef>
              <c:f>'O3 Economic Pivot S70'!$C$7</c:f>
              <c:strCache>
                <c:ptCount val="1"/>
                <c:pt idx="0">
                  <c:v>2 Standard Deviations</c:v>
                </c:pt>
              </c:strCache>
            </c:strRef>
          </c:tx>
          <c:spPr>
            <a:solidFill>
              <a:schemeClr val="accent6">
                <a:lumMod val="40000"/>
                <a:lumOff val="60000"/>
              </a:schemeClr>
            </a:solidFill>
            <a:ln>
              <a:noFill/>
            </a:ln>
            <a:effectLst/>
          </c:spPr>
          <c:invertIfNegative val="0"/>
          <c:cat>
            <c:multiLvlStrRef>
              <c:f>'O3 Economic Pivot S70'!$A$8:$A$72</c:f>
              <c:multiLvlStrCache>
                <c:ptCount val="52"/>
                <c:lvl>
                  <c:pt idx="0">
                    <c:v>2013</c:v>
                  </c:pt>
                  <c:pt idx="1">
                    <c:v>2014</c:v>
                  </c:pt>
                  <c:pt idx="2">
                    <c:v>2015</c:v>
                  </c:pt>
                  <c:pt idx="3">
                    <c:v>2016</c:v>
                  </c:pt>
                  <c:pt idx="4">
                    <c:v>2013</c:v>
                  </c:pt>
                  <c:pt idx="5">
                    <c:v>2014</c:v>
                  </c:pt>
                  <c:pt idx="6">
                    <c:v>2015</c:v>
                  </c:pt>
                  <c:pt idx="7">
                    <c:v>2016</c:v>
                  </c:pt>
                  <c:pt idx="8">
                    <c:v>2013</c:v>
                  </c:pt>
                  <c:pt idx="9">
                    <c:v>2014</c:v>
                  </c:pt>
                  <c:pt idx="10">
                    <c:v>2015</c:v>
                  </c:pt>
                  <c:pt idx="11">
                    <c:v>2016</c:v>
                  </c:pt>
                  <c:pt idx="12">
                    <c:v>2013</c:v>
                  </c:pt>
                  <c:pt idx="13">
                    <c:v>2014</c:v>
                  </c:pt>
                  <c:pt idx="14">
                    <c:v>2015</c:v>
                  </c:pt>
                  <c:pt idx="15">
                    <c:v>2016</c:v>
                  </c:pt>
                  <c:pt idx="16">
                    <c:v>2013</c:v>
                  </c:pt>
                  <c:pt idx="17">
                    <c:v>2014</c:v>
                  </c:pt>
                  <c:pt idx="18">
                    <c:v>2015</c:v>
                  </c:pt>
                  <c:pt idx="19">
                    <c:v>2016</c:v>
                  </c:pt>
                  <c:pt idx="20">
                    <c:v>2013</c:v>
                  </c:pt>
                  <c:pt idx="21">
                    <c:v>2014</c:v>
                  </c:pt>
                  <c:pt idx="22">
                    <c:v>2015</c:v>
                  </c:pt>
                  <c:pt idx="23">
                    <c:v>2016</c:v>
                  </c:pt>
                  <c:pt idx="24">
                    <c:v>2013</c:v>
                  </c:pt>
                  <c:pt idx="25">
                    <c:v>2014</c:v>
                  </c:pt>
                  <c:pt idx="26">
                    <c:v>2015</c:v>
                  </c:pt>
                  <c:pt idx="27">
                    <c:v>2016</c:v>
                  </c:pt>
                  <c:pt idx="28">
                    <c:v>2013</c:v>
                  </c:pt>
                  <c:pt idx="29">
                    <c:v>2014</c:v>
                  </c:pt>
                  <c:pt idx="30">
                    <c:v>2015</c:v>
                  </c:pt>
                  <c:pt idx="31">
                    <c:v>2016</c:v>
                  </c:pt>
                  <c:pt idx="32">
                    <c:v>2013</c:v>
                  </c:pt>
                  <c:pt idx="33">
                    <c:v>2014</c:v>
                  </c:pt>
                  <c:pt idx="34">
                    <c:v>2015</c:v>
                  </c:pt>
                  <c:pt idx="35">
                    <c:v>2016</c:v>
                  </c:pt>
                  <c:pt idx="36">
                    <c:v>2013</c:v>
                  </c:pt>
                  <c:pt idx="37">
                    <c:v>2014</c:v>
                  </c:pt>
                  <c:pt idx="38">
                    <c:v>2015</c:v>
                  </c:pt>
                  <c:pt idx="39">
                    <c:v>2016</c:v>
                  </c:pt>
                  <c:pt idx="40">
                    <c:v>2013</c:v>
                  </c:pt>
                  <c:pt idx="41">
                    <c:v>2014</c:v>
                  </c:pt>
                  <c:pt idx="42">
                    <c:v>2015</c:v>
                  </c:pt>
                  <c:pt idx="43">
                    <c:v>2016</c:v>
                  </c:pt>
                  <c:pt idx="44">
                    <c:v>2013</c:v>
                  </c:pt>
                  <c:pt idx="45">
                    <c:v>2014</c:v>
                  </c:pt>
                  <c:pt idx="46">
                    <c:v>2015</c:v>
                  </c:pt>
                  <c:pt idx="47">
                    <c:v>2016</c:v>
                  </c:pt>
                  <c:pt idx="48">
                    <c:v>2013</c:v>
                  </c:pt>
                  <c:pt idx="49">
                    <c:v>2014</c:v>
                  </c:pt>
                  <c:pt idx="50">
                    <c:v>2015</c:v>
                  </c:pt>
                  <c:pt idx="51">
                    <c:v>2016</c:v>
                  </c:pt>
                </c:lvl>
                <c:lvl>
                  <c:pt idx="0">
                    <c:v>CT</c:v>
                  </c:pt>
                  <c:pt idx="4">
                    <c:v>DE</c:v>
                  </c:pt>
                  <c:pt idx="8">
                    <c:v>DC</c:v>
                  </c:pt>
                  <c:pt idx="12">
                    <c:v>ME</c:v>
                  </c:pt>
                  <c:pt idx="16">
                    <c:v>MD</c:v>
                  </c:pt>
                  <c:pt idx="20">
                    <c:v>MA</c:v>
                  </c:pt>
                  <c:pt idx="24">
                    <c:v>NH</c:v>
                  </c:pt>
                  <c:pt idx="28">
                    <c:v>NJ</c:v>
                  </c:pt>
                  <c:pt idx="32">
                    <c:v>NY</c:v>
                  </c:pt>
                  <c:pt idx="36">
                    <c:v>PA</c:v>
                  </c:pt>
                  <c:pt idx="40">
                    <c:v>RI</c:v>
                  </c:pt>
                  <c:pt idx="44">
                    <c:v>VT</c:v>
                  </c:pt>
                  <c:pt idx="48">
                    <c:v>VA-OTR</c:v>
                  </c:pt>
                </c:lvl>
              </c:multiLvlStrCache>
            </c:multiLvlStrRef>
          </c:cat>
          <c:val>
            <c:numRef>
              <c:f>'O3 Economic Pivot S70'!$C$8:$C$72</c:f>
              <c:numCache>
                <c:formatCode>"$"#,##0</c:formatCode>
                <c:ptCount val="52"/>
                <c:pt idx="0">
                  <c:v>1207939652.8125</c:v>
                </c:pt>
                <c:pt idx="1">
                  <c:v>1217862574.75</c:v>
                </c:pt>
                <c:pt idx="2">
                  <c:v>1482054373</c:v>
                </c:pt>
                <c:pt idx="3">
                  <c:v>1708966204</c:v>
                </c:pt>
                <c:pt idx="4">
                  <c:v>81904491.5</c:v>
                </c:pt>
                <c:pt idx="5">
                  <c:v>122429974.0859375</c:v>
                </c:pt>
                <c:pt idx="6">
                  <c:v>251175824.1875</c:v>
                </c:pt>
                <c:pt idx="7">
                  <c:v>333794107.375</c:v>
                </c:pt>
                <c:pt idx="8">
                  <c:v>821561.73321533203</c:v>
                </c:pt>
                <c:pt idx="9">
                  <c:v>45168646.888671875</c:v>
                </c:pt>
                <c:pt idx="10">
                  <c:v>184598544.7421875</c:v>
                </c:pt>
                <c:pt idx="11">
                  <c:v>134289262.828125</c:v>
                </c:pt>
                <c:pt idx="12">
                  <c:v>79804548.29296875</c:v>
                </c:pt>
                <c:pt idx="13">
                  <c:v>0</c:v>
                </c:pt>
                <c:pt idx="14">
                  <c:v>3167727.9985351563</c:v>
                </c:pt>
                <c:pt idx="15">
                  <c:v>0</c:v>
                </c:pt>
                <c:pt idx="16">
                  <c:v>476213394.875</c:v>
                </c:pt>
                <c:pt idx="17">
                  <c:v>280827018.953125</c:v>
                </c:pt>
                <c:pt idx="18">
                  <c:v>2231148038.25</c:v>
                </c:pt>
                <c:pt idx="19">
                  <c:v>2779831712.25</c:v>
                </c:pt>
                <c:pt idx="20">
                  <c:v>1208569588.25</c:v>
                </c:pt>
                <c:pt idx="21">
                  <c:v>74411516.421875</c:v>
                </c:pt>
                <c:pt idx="22">
                  <c:v>480679396.3125</c:v>
                </c:pt>
                <c:pt idx="23">
                  <c:v>1213490269.125</c:v>
                </c:pt>
                <c:pt idx="24">
                  <c:v>7087843.3901367187</c:v>
                </c:pt>
                <c:pt idx="25">
                  <c:v>0</c:v>
                </c:pt>
                <c:pt idx="26">
                  <c:v>23407529.037109375</c:v>
                </c:pt>
                <c:pt idx="27">
                  <c:v>6764682.8791503906</c:v>
                </c:pt>
                <c:pt idx="28">
                  <c:v>2146128116</c:v>
                </c:pt>
                <c:pt idx="29">
                  <c:v>1658471700.875</c:v>
                </c:pt>
                <c:pt idx="30">
                  <c:v>3640341699</c:v>
                </c:pt>
                <c:pt idx="31">
                  <c:v>3554043620.75</c:v>
                </c:pt>
                <c:pt idx="32">
                  <c:v>3186103422.75</c:v>
                </c:pt>
                <c:pt idx="33">
                  <c:v>2130198146.75</c:v>
                </c:pt>
                <c:pt idx="34">
                  <c:v>4609094963.25</c:v>
                </c:pt>
                <c:pt idx="35">
                  <c:v>4510010919.75</c:v>
                </c:pt>
                <c:pt idx="36">
                  <c:v>1577306062.8125</c:v>
                </c:pt>
                <c:pt idx="37">
                  <c:v>1698678537</c:v>
                </c:pt>
                <c:pt idx="38">
                  <c:v>3590078520.25</c:v>
                </c:pt>
                <c:pt idx="39">
                  <c:v>4650902995.5</c:v>
                </c:pt>
                <c:pt idx="40">
                  <c:v>355405738.65625</c:v>
                </c:pt>
                <c:pt idx="41">
                  <c:v>0</c:v>
                </c:pt>
                <c:pt idx="42">
                  <c:v>417324336.40625</c:v>
                </c:pt>
                <c:pt idx="43">
                  <c:v>496173899.75</c:v>
                </c:pt>
                <c:pt idx="44">
                  <c:v>19279.422067642212</c:v>
                </c:pt>
                <c:pt idx="45">
                  <c:v>0</c:v>
                </c:pt>
                <c:pt idx="46">
                  <c:v>24082805.149414062</c:v>
                </c:pt>
                <c:pt idx="47">
                  <c:v>8588078.5522460938</c:v>
                </c:pt>
                <c:pt idx="48">
                  <c:v>0</c:v>
                </c:pt>
                <c:pt idx="49">
                  <c:v>193281220.875</c:v>
                </c:pt>
                <c:pt idx="50">
                  <c:v>572089901.21875</c:v>
                </c:pt>
                <c:pt idx="51">
                  <c:v>526762162.75</c:v>
                </c:pt>
              </c:numCache>
            </c:numRef>
          </c:val>
        </c:ser>
        <c:ser>
          <c:idx val="2"/>
          <c:order val="2"/>
          <c:tx>
            <c:strRef>
              <c:f>'O3 Economic Pivot S70'!$D$7</c:f>
              <c:strCache>
                <c:ptCount val="1"/>
                <c:pt idx="0">
                  <c:v> </c:v>
                </c:pt>
              </c:strCache>
            </c:strRef>
          </c:tx>
          <c:spPr>
            <a:solidFill>
              <a:schemeClr val="bg1"/>
            </a:solidFill>
            <a:ln>
              <a:noFill/>
            </a:ln>
            <a:effectLst/>
          </c:spPr>
          <c:invertIfNegative val="0"/>
          <c:cat>
            <c:multiLvlStrRef>
              <c:f>'O3 Economic Pivot S70'!$A$8:$A$72</c:f>
              <c:multiLvlStrCache>
                <c:ptCount val="52"/>
                <c:lvl>
                  <c:pt idx="0">
                    <c:v>2013</c:v>
                  </c:pt>
                  <c:pt idx="1">
                    <c:v>2014</c:v>
                  </c:pt>
                  <c:pt idx="2">
                    <c:v>2015</c:v>
                  </c:pt>
                  <c:pt idx="3">
                    <c:v>2016</c:v>
                  </c:pt>
                  <c:pt idx="4">
                    <c:v>2013</c:v>
                  </c:pt>
                  <c:pt idx="5">
                    <c:v>2014</c:v>
                  </c:pt>
                  <c:pt idx="6">
                    <c:v>2015</c:v>
                  </c:pt>
                  <c:pt idx="7">
                    <c:v>2016</c:v>
                  </c:pt>
                  <c:pt idx="8">
                    <c:v>2013</c:v>
                  </c:pt>
                  <c:pt idx="9">
                    <c:v>2014</c:v>
                  </c:pt>
                  <c:pt idx="10">
                    <c:v>2015</c:v>
                  </c:pt>
                  <c:pt idx="11">
                    <c:v>2016</c:v>
                  </c:pt>
                  <c:pt idx="12">
                    <c:v>2013</c:v>
                  </c:pt>
                  <c:pt idx="13">
                    <c:v>2014</c:v>
                  </c:pt>
                  <c:pt idx="14">
                    <c:v>2015</c:v>
                  </c:pt>
                  <c:pt idx="15">
                    <c:v>2016</c:v>
                  </c:pt>
                  <c:pt idx="16">
                    <c:v>2013</c:v>
                  </c:pt>
                  <c:pt idx="17">
                    <c:v>2014</c:v>
                  </c:pt>
                  <c:pt idx="18">
                    <c:v>2015</c:v>
                  </c:pt>
                  <c:pt idx="19">
                    <c:v>2016</c:v>
                  </c:pt>
                  <c:pt idx="20">
                    <c:v>2013</c:v>
                  </c:pt>
                  <c:pt idx="21">
                    <c:v>2014</c:v>
                  </c:pt>
                  <c:pt idx="22">
                    <c:v>2015</c:v>
                  </c:pt>
                  <c:pt idx="23">
                    <c:v>2016</c:v>
                  </c:pt>
                  <c:pt idx="24">
                    <c:v>2013</c:v>
                  </c:pt>
                  <c:pt idx="25">
                    <c:v>2014</c:v>
                  </c:pt>
                  <c:pt idx="26">
                    <c:v>2015</c:v>
                  </c:pt>
                  <c:pt idx="27">
                    <c:v>2016</c:v>
                  </c:pt>
                  <c:pt idx="28">
                    <c:v>2013</c:v>
                  </c:pt>
                  <c:pt idx="29">
                    <c:v>2014</c:v>
                  </c:pt>
                  <c:pt idx="30">
                    <c:v>2015</c:v>
                  </c:pt>
                  <c:pt idx="31">
                    <c:v>2016</c:v>
                  </c:pt>
                  <c:pt idx="32">
                    <c:v>2013</c:v>
                  </c:pt>
                  <c:pt idx="33">
                    <c:v>2014</c:v>
                  </c:pt>
                  <c:pt idx="34">
                    <c:v>2015</c:v>
                  </c:pt>
                  <c:pt idx="35">
                    <c:v>2016</c:v>
                  </c:pt>
                  <c:pt idx="36">
                    <c:v>2013</c:v>
                  </c:pt>
                  <c:pt idx="37">
                    <c:v>2014</c:v>
                  </c:pt>
                  <c:pt idx="38">
                    <c:v>2015</c:v>
                  </c:pt>
                  <c:pt idx="39">
                    <c:v>2016</c:v>
                  </c:pt>
                  <c:pt idx="40">
                    <c:v>2013</c:v>
                  </c:pt>
                  <c:pt idx="41">
                    <c:v>2014</c:v>
                  </c:pt>
                  <c:pt idx="42">
                    <c:v>2015</c:v>
                  </c:pt>
                  <c:pt idx="43">
                    <c:v>2016</c:v>
                  </c:pt>
                  <c:pt idx="44">
                    <c:v>2013</c:v>
                  </c:pt>
                  <c:pt idx="45">
                    <c:v>2014</c:v>
                  </c:pt>
                  <c:pt idx="46">
                    <c:v>2015</c:v>
                  </c:pt>
                  <c:pt idx="47">
                    <c:v>2016</c:v>
                  </c:pt>
                  <c:pt idx="48">
                    <c:v>2013</c:v>
                  </c:pt>
                  <c:pt idx="49">
                    <c:v>2014</c:v>
                  </c:pt>
                  <c:pt idx="50">
                    <c:v>2015</c:v>
                  </c:pt>
                  <c:pt idx="51">
                    <c:v>2016</c:v>
                  </c:pt>
                </c:lvl>
                <c:lvl>
                  <c:pt idx="0">
                    <c:v>CT</c:v>
                  </c:pt>
                  <c:pt idx="4">
                    <c:v>DE</c:v>
                  </c:pt>
                  <c:pt idx="8">
                    <c:v>DC</c:v>
                  </c:pt>
                  <c:pt idx="12">
                    <c:v>ME</c:v>
                  </c:pt>
                  <c:pt idx="16">
                    <c:v>MD</c:v>
                  </c:pt>
                  <c:pt idx="20">
                    <c:v>MA</c:v>
                  </c:pt>
                  <c:pt idx="24">
                    <c:v>NH</c:v>
                  </c:pt>
                  <c:pt idx="28">
                    <c:v>NJ</c:v>
                  </c:pt>
                  <c:pt idx="32">
                    <c:v>NY</c:v>
                  </c:pt>
                  <c:pt idx="36">
                    <c:v>PA</c:v>
                  </c:pt>
                  <c:pt idx="40">
                    <c:v>RI</c:v>
                  </c:pt>
                  <c:pt idx="44">
                    <c:v>VT</c:v>
                  </c:pt>
                  <c:pt idx="48">
                    <c:v>VA-OTR</c:v>
                  </c:pt>
                </c:lvl>
              </c:multiLvlStrCache>
            </c:multiLvlStrRef>
          </c:cat>
          <c:val>
            <c:numRef>
              <c:f>'O3 Economic Pivot S70'!$D$8:$D$72</c:f>
              <c:numCache>
                <c:formatCode>"$"#,##0</c:formatCode>
                <c:ptCount val="52"/>
                <c:pt idx="0">
                  <c:v>9359932.4375</c:v>
                </c:pt>
                <c:pt idx="1">
                  <c:v>9294378.5</c:v>
                </c:pt>
                <c:pt idx="2">
                  <c:v>11611487.5</c:v>
                </c:pt>
                <c:pt idx="3">
                  <c:v>13252530.75</c:v>
                </c:pt>
                <c:pt idx="4">
                  <c:v>590066.71875</c:v>
                </c:pt>
                <c:pt idx="5">
                  <c:v>897985.6328125</c:v>
                </c:pt>
                <c:pt idx="6">
                  <c:v>1886038.625</c:v>
                </c:pt>
                <c:pt idx="7">
                  <c:v>2522261.625</c:v>
                </c:pt>
                <c:pt idx="8">
                  <c:v>5569.3079223632812</c:v>
                </c:pt>
                <c:pt idx="9">
                  <c:v>288475.986328125</c:v>
                </c:pt>
                <c:pt idx="10">
                  <c:v>1359116.0078125</c:v>
                </c:pt>
                <c:pt idx="11">
                  <c:v>939199.390625</c:v>
                </c:pt>
                <c:pt idx="12">
                  <c:v>552426.97265625</c:v>
                </c:pt>
                <c:pt idx="13">
                  <c:v>0</c:v>
                </c:pt>
                <c:pt idx="14">
                  <c:v>21433.78466796875</c:v>
                </c:pt>
                <c:pt idx="15">
                  <c:v>0</c:v>
                </c:pt>
                <c:pt idx="16">
                  <c:v>3383950.875</c:v>
                </c:pt>
                <c:pt idx="17">
                  <c:v>2000932.984375</c:v>
                </c:pt>
                <c:pt idx="18">
                  <c:v>17344731.25</c:v>
                </c:pt>
                <c:pt idx="19">
                  <c:v>21367142.25</c:v>
                </c:pt>
                <c:pt idx="20">
                  <c:v>9053721.75</c:v>
                </c:pt>
                <c:pt idx="21">
                  <c:v>529684.75</c:v>
                </c:pt>
                <c:pt idx="22">
                  <c:v>3525952.1875</c:v>
                </c:pt>
                <c:pt idx="23">
                  <c:v>9025653.875</c:v>
                </c:pt>
                <c:pt idx="24">
                  <c:v>48132.72119140625</c:v>
                </c:pt>
                <c:pt idx="25">
                  <c:v>0</c:v>
                </c:pt>
                <c:pt idx="26">
                  <c:v>158652.705078125</c:v>
                </c:pt>
                <c:pt idx="27">
                  <c:v>45479.089599609375</c:v>
                </c:pt>
                <c:pt idx="28">
                  <c:v>16158233.75</c:v>
                </c:pt>
                <c:pt idx="29">
                  <c:v>12080607.875</c:v>
                </c:pt>
                <c:pt idx="30">
                  <c:v>28602407</c:v>
                </c:pt>
                <c:pt idx="31">
                  <c:v>27136482.75</c:v>
                </c:pt>
                <c:pt idx="32">
                  <c:v>24024029.25</c:v>
                </c:pt>
                <c:pt idx="33">
                  <c:v>15488949.5</c:v>
                </c:pt>
                <c:pt idx="34">
                  <c:v>35634995.75</c:v>
                </c:pt>
                <c:pt idx="35">
                  <c:v>33559352.25</c:v>
                </c:pt>
                <c:pt idx="36">
                  <c:v>11397491.1875</c:v>
                </c:pt>
                <c:pt idx="37">
                  <c:v>12576115.5</c:v>
                </c:pt>
                <c:pt idx="38">
                  <c:v>27231570.75</c:v>
                </c:pt>
                <c:pt idx="39">
                  <c:v>34794575</c:v>
                </c:pt>
                <c:pt idx="40">
                  <c:v>2703839.09375</c:v>
                </c:pt>
                <c:pt idx="41">
                  <c:v>0</c:v>
                </c:pt>
                <c:pt idx="42">
                  <c:v>3203589.09375</c:v>
                </c:pt>
                <c:pt idx="43">
                  <c:v>3787901</c:v>
                </c:pt>
                <c:pt idx="44">
                  <c:v>130.8405933380127</c:v>
                </c:pt>
                <c:pt idx="45">
                  <c:v>0</c:v>
                </c:pt>
                <c:pt idx="46">
                  <c:v>161123.5029296875</c:v>
                </c:pt>
                <c:pt idx="47">
                  <c:v>57118.24462890625</c:v>
                </c:pt>
                <c:pt idx="48">
                  <c:v>0</c:v>
                </c:pt>
                <c:pt idx="49">
                  <c:v>1313473.53125</c:v>
                </c:pt>
                <c:pt idx="50">
                  <c:v>4394724.15625</c:v>
                </c:pt>
                <c:pt idx="51">
                  <c:v>3875235.8125</c:v>
                </c:pt>
              </c:numCache>
            </c:numRef>
          </c:val>
        </c:ser>
        <c:dLbls>
          <c:showLegendKey val="0"/>
          <c:showVal val="0"/>
          <c:showCatName val="0"/>
          <c:showSerName val="0"/>
          <c:showPercent val="0"/>
          <c:showBubbleSize val="0"/>
        </c:dLbls>
        <c:gapWidth val="500"/>
        <c:axId val="569548632"/>
        <c:axId val="569549024"/>
      </c:barChart>
      <c:lineChart>
        <c:grouping val="standard"/>
        <c:varyColors val="0"/>
        <c:ser>
          <c:idx val="0"/>
          <c:order val="0"/>
          <c:tx>
            <c:strRef>
              <c:f>'O3 Economic Pivot S70'!$B$7</c:f>
              <c:strCache>
                <c:ptCount val="1"/>
                <c:pt idx="0">
                  <c:v>Mean Economic Impact</c:v>
                </c:pt>
              </c:strCache>
            </c:strRef>
          </c:tx>
          <c:spPr>
            <a:ln w="28575" cap="rnd">
              <a:noFill/>
              <a:round/>
            </a:ln>
            <a:effectLst/>
          </c:spPr>
          <c:marker>
            <c:symbol val="circle"/>
            <c:size val="6"/>
            <c:spPr>
              <a:solidFill>
                <a:schemeClr val="tx1"/>
              </a:solidFill>
              <a:ln w="9525">
                <a:noFill/>
              </a:ln>
              <a:effectLst/>
            </c:spPr>
          </c:marker>
          <c:cat>
            <c:multiLvlStrRef>
              <c:f>'O3 Economic Pivot S70'!$A$8:$A$72</c:f>
              <c:multiLvlStrCache>
                <c:ptCount val="52"/>
                <c:lvl>
                  <c:pt idx="0">
                    <c:v>2013</c:v>
                  </c:pt>
                  <c:pt idx="1">
                    <c:v>2014</c:v>
                  </c:pt>
                  <c:pt idx="2">
                    <c:v>2015</c:v>
                  </c:pt>
                  <c:pt idx="3">
                    <c:v>2016</c:v>
                  </c:pt>
                  <c:pt idx="4">
                    <c:v>2013</c:v>
                  </c:pt>
                  <c:pt idx="5">
                    <c:v>2014</c:v>
                  </c:pt>
                  <c:pt idx="6">
                    <c:v>2015</c:v>
                  </c:pt>
                  <c:pt idx="7">
                    <c:v>2016</c:v>
                  </c:pt>
                  <c:pt idx="8">
                    <c:v>2013</c:v>
                  </c:pt>
                  <c:pt idx="9">
                    <c:v>2014</c:v>
                  </c:pt>
                  <c:pt idx="10">
                    <c:v>2015</c:v>
                  </c:pt>
                  <c:pt idx="11">
                    <c:v>2016</c:v>
                  </c:pt>
                  <c:pt idx="12">
                    <c:v>2013</c:v>
                  </c:pt>
                  <c:pt idx="13">
                    <c:v>2014</c:v>
                  </c:pt>
                  <c:pt idx="14">
                    <c:v>2015</c:v>
                  </c:pt>
                  <c:pt idx="15">
                    <c:v>2016</c:v>
                  </c:pt>
                  <c:pt idx="16">
                    <c:v>2013</c:v>
                  </c:pt>
                  <c:pt idx="17">
                    <c:v>2014</c:v>
                  </c:pt>
                  <c:pt idx="18">
                    <c:v>2015</c:v>
                  </c:pt>
                  <c:pt idx="19">
                    <c:v>2016</c:v>
                  </c:pt>
                  <c:pt idx="20">
                    <c:v>2013</c:v>
                  </c:pt>
                  <c:pt idx="21">
                    <c:v>2014</c:v>
                  </c:pt>
                  <c:pt idx="22">
                    <c:v>2015</c:v>
                  </c:pt>
                  <c:pt idx="23">
                    <c:v>2016</c:v>
                  </c:pt>
                  <c:pt idx="24">
                    <c:v>2013</c:v>
                  </c:pt>
                  <c:pt idx="25">
                    <c:v>2014</c:v>
                  </c:pt>
                  <c:pt idx="26">
                    <c:v>2015</c:v>
                  </c:pt>
                  <c:pt idx="27">
                    <c:v>2016</c:v>
                  </c:pt>
                  <c:pt idx="28">
                    <c:v>2013</c:v>
                  </c:pt>
                  <c:pt idx="29">
                    <c:v>2014</c:v>
                  </c:pt>
                  <c:pt idx="30">
                    <c:v>2015</c:v>
                  </c:pt>
                  <c:pt idx="31">
                    <c:v>2016</c:v>
                  </c:pt>
                  <c:pt idx="32">
                    <c:v>2013</c:v>
                  </c:pt>
                  <c:pt idx="33">
                    <c:v>2014</c:v>
                  </c:pt>
                  <c:pt idx="34">
                    <c:v>2015</c:v>
                  </c:pt>
                  <c:pt idx="35">
                    <c:v>2016</c:v>
                  </c:pt>
                  <c:pt idx="36">
                    <c:v>2013</c:v>
                  </c:pt>
                  <c:pt idx="37">
                    <c:v>2014</c:v>
                  </c:pt>
                  <c:pt idx="38">
                    <c:v>2015</c:v>
                  </c:pt>
                  <c:pt idx="39">
                    <c:v>2016</c:v>
                  </c:pt>
                  <c:pt idx="40">
                    <c:v>2013</c:v>
                  </c:pt>
                  <c:pt idx="41">
                    <c:v>2014</c:v>
                  </c:pt>
                  <c:pt idx="42">
                    <c:v>2015</c:v>
                  </c:pt>
                  <c:pt idx="43">
                    <c:v>2016</c:v>
                  </c:pt>
                  <c:pt idx="44">
                    <c:v>2013</c:v>
                  </c:pt>
                  <c:pt idx="45">
                    <c:v>2014</c:v>
                  </c:pt>
                  <c:pt idx="46">
                    <c:v>2015</c:v>
                  </c:pt>
                  <c:pt idx="47">
                    <c:v>2016</c:v>
                  </c:pt>
                  <c:pt idx="48">
                    <c:v>2013</c:v>
                  </c:pt>
                  <c:pt idx="49">
                    <c:v>2014</c:v>
                  </c:pt>
                  <c:pt idx="50">
                    <c:v>2015</c:v>
                  </c:pt>
                  <c:pt idx="51">
                    <c:v>2016</c:v>
                  </c:pt>
                </c:lvl>
                <c:lvl>
                  <c:pt idx="0">
                    <c:v>CT</c:v>
                  </c:pt>
                  <c:pt idx="4">
                    <c:v>DE</c:v>
                  </c:pt>
                  <c:pt idx="8">
                    <c:v>DC</c:v>
                  </c:pt>
                  <c:pt idx="12">
                    <c:v>ME</c:v>
                  </c:pt>
                  <c:pt idx="16">
                    <c:v>MD</c:v>
                  </c:pt>
                  <c:pt idx="20">
                    <c:v>MA</c:v>
                  </c:pt>
                  <c:pt idx="24">
                    <c:v>NH</c:v>
                  </c:pt>
                  <c:pt idx="28">
                    <c:v>NJ</c:v>
                  </c:pt>
                  <c:pt idx="32">
                    <c:v>NY</c:v>
                  </c:pt>
                  <c:pt idx="36">
                    <c:v>PA</c:v>
                  </c:pt>
                  <c:pt idx="40">
                    <c:v>RI</c:v>
                  </c:pt>
                  <c:pt idx="44">
                    <c:v>VT</c:v>
                  </c:pt>
                  <c:pt idx="48">
                    <c:v>VA-OTR</c:v>
                  </c:pt>
                </c:lvl>
              </c:multiLvlStrCache>
            </c:multiLvlStrRef>
          </c:cat>
          <c:val>
            <c:numRef>
              <c:f>'O3 Economic Pivot S70'!$B$8:$B$72</c:f>
              <c:numCache>
                <c:formatCode>"$"#,##0</c:formatCode>
                <c:ptCount val="52"/>
                <c:pt idx="0">
                  <c:v>608649792.625</c:v>
                </c:pt>
                <c:pt idx="1">
                  <c:v>613578476.625</c:v>
                </c:pt>
                <c:pt idx="2">
                  <c:v>746832930.25</c:v>
                </c:pt>
                <c:pt idx="3">
                  <c:v>861109367.375</c:v>
                </c:pt>
                <c:pt idx="4">
                  <c:v>41247279.109375</c:v>
                </c:pt>
                <c:pt idx="5">
                  <c:v>61663979.859375</c:v>
                </c:pt>
                <c:pt idx="6">
                  <c:v>126530931.40625</c:v>
                </c:pt>
                <c:pt idx="7">
                  <c:v>168158184.5</c:v>
                </c:pt>
                <c:pt idx="8">
                  <c:v>413565.52056884766</c:v>
                </c:pt>
                <c:pt idx="9">
                  <c:v>22728561.4375</c:v>
                </c:pt>
                <c:pt idx="10">
                  <c:v>92978830.375</c:v>
                </c:pt>
                <c:pt idx="11">
                  <c:v>67614231.109375</c:v>
                </c:pt>
                <c:pt idx="12">
                  <c:v>40178487.6328125</c:v>
                </c:pt>
                <c:pt idx="13">
                  <c:v>0</c:v>
                </c:pt>
                <c:pt idx="14">
                  <c:v>1594580.8916015625</c:v>
                </c:pt>
                <c:pt idx="15">
                  <c:v>0</c:v>
                </c:pt>
                <c:pt idx="16">
                  <c:v>239798672.875</c:v>
                </c:pt>
                <c:pt idx="17">
                  <c:v>141413975.96875</c:v>
                </c:pt>
                <c:pt idx="18">
                  <c:v>1124246384.75</c:v>
                </c:pt>
                <c:pt idx="19">
                  <c:v>1400599427.25</c:v>
                </c:pt>
                <c:pt idx="20">
                  <c:v>608811655</c:v>
                </c:pt>
                <c:pt idx="21">
                  <c:v>37470600.5859375</c:v>
                </c:pt>
                <c:pt idx="22">
                  <c:v>242102674.25</c:v>
                </c:pt>
                <c:pt idx="23">
                  <c:v>611257961.5</c:v>
                </c:pt>
                <c:pt idx="24">
                  <c:v>3567988.0556640625</c:v>
                </c:pt>
                <c:pt idx="25">
                  <c:v>0</c:v>
                </c:pt>
                <c:pt idx="26">
                  <c:v>11783090.87109375</c:v>
                </c:pt>
                <c:pt idx="27">
                  <c:v>3405080.984375</c:v>
                </c:pt>
                <c:pt idx="28">
                  <c:v>1081143174.875</c:v>
                </c:pt>
                <c:pt idx="29">
                  <c:v>835276154.375</c:v>
                </c:pt>
                <c:pt idx="30">
                  <c:v>1834472053</c:v>
                </c:pt>
                <c:pt idx="31">
                  <c:v>1790590051.75</c:v>
                </c:pt>
                <c:pt idx="32">
                  <c:v>1605063726</c:v>
                </c:pt>
                <c:pt idx="33">
                  <c:v>1072843548.125</c:v>
                </c:pt>
                <c:pt idx="34">
                  <c:v>2322364979.5</c:v>
                </c:pt>
                <c:pt idx="35">
                  <c:v>2271785136</c:v>
                </c:pt>
                <c:pt idx="36">
                  <c:v>794351777</c:v>
                </c:pt>
                <c:pt idx="37">
                  <c:v>855627326.25</c:v>
                </c:pt>
                <c:pt idx="38">
                  <c:v>1808655045.5</c:v>
                </c:pt>
                <c:pt idx="39">
                  <c:v>2342848785.25</c:v>
                </c:pt>
                <c:pt idx="40">
                  <c:v>179054788.875</c:v>
                </c:pt>
                <c:pt idx="41">
                  <c:v>0</c:v>
                </c:pt>
                <c:pt idx="42">
                  <c:v>210263962.75</c:v>
                </c:pt>
                <c:pt idx="43">
                  <c:v>249980900.375</c:v>
                </c:pt>
                <c:pt idx="44">
                  <c:v>9705.1313304901123</c:v>
                </c:pt>
                <c:pt idx="45">
                  <c:v>0</c:v>
                </c:pt>
                <c:pt idx="46">
                  <c:v>12121964.326171875</c:v>
                </c:pt>
                <c:pt idx="47">
                  <c:v>4322598.3984375</c:v>
                </c:pt>
                <c:pt idx="48">
                  <c:v>0</c:v>
                </c:pt>
                <c:pt idx="49">
                  <c:v>97297347.203125</c:v>
                </c:pt>
                <c:pt idx="50">
                  <c:v>288242312.6875</c:v>
                </c:pt>
                <c:pt idx="51">
                  <c:v>265318699.28125</c:v>
                </c:pt>
              </c:numCache>
            </c:numRef>
          </c:val>
          <c:smooth val="0"/>
        </c:ser>
        <c:dLbls>
          <c:showLegendKey val="0"/>
          <c:showVal val="0"/>
          <c:showCatName val="0"/>
          <c:showSerName val="0"/>
          <c:showPercent val="0"/>
          <c:showBubbleSize val="0"/>
        </c:dLbls>
        <c:marker val="1"/>
        <c:smooth val="0"/>
        <c:axId val="569548632"/>
        <c:axId val="569549024"/>
      </c:lineChart>
      <c:catAx>
        <c:axId val="569548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569549024"/>
        <c:crosses val="autoZero"/>
        <c:auto val="1"/>
        <c:lblAlgn val="ctr"/>
        <c:lblOffset val="100"/>
        <c:noMultiLvlLbl val="0"/>
      </c:catAx>
      <c:valAx>
        <c:axId val="56954902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9548632"/>
        <c:crosses val="autoZero"/>
        <c:crossBetween val="between"/>
        <c:dispUnits>
          <c:builtInUnit val="billions"/>
          <c:dispUnitsLbl>
            <c:layout/>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t"/>
      <c:layout>
        <c:manualLayout>
          <c:xMode val="edge"/>
          <c:yMode val="edge"/>
          <c:x val="7.9222020324382525E-2"/>
          <c:y val="2.0275192873618078E-2"/>
          <c:w val="0.45140042206736286"/>
          <c:h val="0.1525093454227312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[BenMap Rollback Analysis Results - v1.3.52.xlsx]O3 Economic Pivot S65!PivotTable2</c:name>
    <c:fmtId val="23"/>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w="28575" cap="rnd">
            <a:noFill/>
            <a:round/>
          </a:ln>
          <a:effectLst/>
        </c:spPr>
        <c:marker>
          <c:symbol val="circle"/>
          <c:size val="6"/>
          <c:spPr>
            <a:solidFill>
              <a:schemeClr val="tx1"/>
            </a:solidFill>
            <a:ln w="9525">
              <a:noFill/>
            </a:ln>
            <a:effectLst/>
          </c:spPr>
        </c:marker>
      </c:pivotFmt>
      <c:pivotFmt>
        <c:idx val="7"/>
        <c:spPr>
          <a:solidFill>
            <a:schemeClr val="accent6">
              <a:lumMod val="40000"/>
              <a:lumOff val="60000"/>
            </a:schemeClr>
          </a:solidFill>
          <a:ln>
            <a:noFill/>
          </a:ln>
          <a:effectLst/>
        </c:spPr>
        <c:marker>
          <c:symbol val="none"/>
        </c:marker>
      </c:pivotFmt>
      <c:pivotFmt>
        <c:idx val="8"/>
        <c:spPr>
          <a:solidFill>
            <a:schemeClr val="bg1"/>
          </a:solidFill>
          <a:ln>
            <a:noFill/>
          </a:ln>
          <a:effectLst/>
        </c:spPr>
        <c:marker>
          <c:symbol val="none"/>
        </c:marker>
      </c:pivotFmt>
      <c:pivotFmt>
        <c:idx val="9"/>
        <c:spPr>
          <a:solidFill>
            <a:schemeClr val="accent6">
              <a:lumMod val="40000"/>
              <a:lumOff val="60000"/>
            </a:schemeClr>
          </a:solidFill>
          <a:ln>
            <a:noFill/>
          </a:ln>
          <a:effectLst/>
        </c:spPr>
      </c:pivotFmt>
      <c:pivotFmt>
        <c:idx val="10"/>
        <c:spPr>
          <a:solidFill>
            <a:schemeClr val="accent6">
              <a:lumMod val="40000"/>
              <a:lumOff val="60000"/>
            </a:schemeClr>
          </a:solidFill>
          <a:ln>
            <a:noFill/>
          </a:ln>
          <a:effectLst/>
        </c:spPr>
        <c:marker>
          <c:symbol val="none"/>
        </c:marker>
      </c:pivotFmt>
      <c:pivotFmt>
        <c:idx val="11"/>
        <c:spPr>
          <a:solidFill>
            <a:schemeClr val="bg1"/>
          </a:solidFill>
          <a:ln>
            <a:noFill/>
          </a:ln>
          <a:effectLst/>
        </c:spPr>
        <c:marker>
          <c:symbol val="none"/>
        </c:marker>
      </c:pivotFmt>
      <c:pivotFmt>
        <c:idx val="12"/>
        <c:spPr>
          <a:solidFill>
            <a:schemeClr val="accent1"/>
          </a:solidFill>
          <a:ln w="28575" cap="rnd">
            <a:noFill/>
            <a:round/>
          </a:ln>
          <a:effectLst/>
        </c:spPr>
        <c:marker>
          <c:symbol val="circle"/>
          <c:size val="6"/>
          <c:spPr>
            <a:solidFill>
              <a:schemeClr val="tx1"/>
            </a:solidFill>
            <a:ln w="9525">
              <a:noFill/>
            </a:ln>
            <a:effectLst/>
          </c:spPr>
        </c:marker>
      </c:pivotFmt>
      <c:pivotFmt>
        <c:idx val="13"/>
        <c:spPr>
          <a:solidFill>
            <a:schemeClr val="accent6">
              <a:lumMod val="40000"/>
              <a:lumOff val="60000"/>
            </a:schemeClr>
          </a:solidFill>
          <a:ln>
            <a:noFill/>
          </a:ln>
          <a:effectLst/>
        </c:spPr>
        <c:marker>
          <c:symbol val="none"/>
        </c:marker>
      </c:pivotFmt>
      <c:pivotFmt>
        <c:idx val="14"/>
        <c:spPr>
          <a:solidFill>
            <a:schemeClr val="bg1"/>
          </a:solidFill>
          <a:ln>
            <a:noFill/>
          </a:ln>
          <a:effectLst/>
        </c:spPr>
        <c:marker>
          <c:symbol val="none"/>
        </c:marker>
      </c:pivotFmt>
      <c:pivotFmt>
        <c:idx val="15"/>
        <c:spPr>
          <a:solidFill>
            <a:schemeClr val="accent1"/>
          </a:solidFill>
          <a:ln w="28575" cap="rnd">
            <a:noFill/>
            <a:round/>
          </a:ln>
          <a:effectLst/>
        </c:spPr>
        <c:marker>
          <c:symbol val="circle"/>
          <c:size val="6"/>
          <c:spPr>
            <a:solidFill>
              <a:schemeClr val="tx1"/>
            </a:solidFill>
            <a:ln w="9525">
              <a:noFill/>
            </a:ln>
            <a:effectLst/>
          </c:spPr>
        </c:marker>
      </c:pivotFmt>
      <c:pivotFmt>
        <c:idx val="16"/>
        <c:spPr>
          <a:solidFill>
            <a:schemeClr val="accent6">
              <a:lumMod val="40000"/>
              <a:lumOff val="60000"/>
            </a:schemeClr>
          </a:solidFill>
          <a:ln>
            <a:noFill/>
          </a:ln>
          <a:effectLst/>
        </c:spPr>
        <c:marker>
          <c:symbol val="none"/>
        </c:marker>
      </c:pivotFmt>
      <c:pivotFmt>
        <c:idx val="17"/>
        <c:spPr>
          <a:solidFill>
            <a:schemeClr val="bg1"/>
          </a:solidFill>
          <a:ln>
            <a:noFill/>
          </a:ln>
          <a:effectLst/>
        </c:spPr>
        <c:marker>
          <c:symbol val="none"/>
        </c:marker>
      </c:pivotFmt>
      <c:pivotFmt>
        <c:idx val="18"/>
        <c:spPr>
          <a:solidFill>
            <a:schemeClr val="accent1"/>
          </a:solidFill>
          <a:ln w="28575" cap="rnd">
            <a:noFill/>
            <a:round/>
          </a:ln>
          <a:effectLst/>
        </c:spPr>
        <c:marker>
          <c:symbol val="circle"/>
          <c:size val="6"/>
          <c:spPr>
            <a:solidFill>
              <a:schemeClr val="tx1"/>
            </a:solidFill>
            <a:ln w="9525">
              <a:noFill/>
            </a:ln>
            <a:effectLst/>
          </c:spPr>
        </c:marker>
      </c:pivotFmt>
    </c:pivotFmts>
    <c:plotArea>
      <c:layout/>
      <c:barChart>
        <c:barDir val="col"/>
        <c:grouping val="clustered"/>
        <c:varyColors val="0"/>
        <c:ser>
          <c:idx val="1"/>
          <c:order val="1"/>
          <c:tx>
            <c:strRef>
              <c:f>'O3 Economic Pivot S65'!$C$7</c:f>
              <c:strCache>
                <c:ptCount val="1"/>
                <c:pt idx="0">
                  <c:v>2 Standard Deviations</c:v>
                </c:pt>
              </c:strCache>
            </c:strRef>
          </c:tx>
          <c:spPr>
            <a:solidFill>
              <a:schemeClr val="accent6">
                <a:lumMod val="40000"/>
                <a:lumOff val="60000"/>
              </a:schemeClr>
            </a:solidFill>
            <a:ln>
              <a:noFill/>
            </a:ln>
            <a:effectLst/>
          </c:spPr>
          <c:invertIfNegative val="0"/>
          <c:cat>
            <c:multiLvlStrRef>
              <c:f>'O3 Economic Pivot S65'!$A$8:$A$72</c:f>
              <c:multiLvlStrCache>
                <c:ptCount val="52"/>
                <c:lvl>
                  <c:pt idx="0">
                    <c:v>2013</c:v>
                  </c:pt>
                  <c:pt idx="1">
                    <c:v>2014</c:v>
                  </c:pt>
                  <c:pt idx="2">
                    <c:v>2015</c:v>
                  </c:pt>
                  <c:pt idx="3">
                    <c:v>2016</c:v>
                  </c:pt>
                  <c:pt idx="4">
                    <c:v>2013</c:v>
                  </c:pt>
                  <c:pt idx="5">
                    <c:v>2014</c:v>
                  </c:pt>
                  <c:pt idx="6">
                    <c:v>2015</c:v>
                  </c:pt>
                  <c:pt idx="7">
                    <c:v>2016</c:v>
                  </c:pt>
                  <c:pt idx="8">
                    <c:v>2013</c:v>
                  </c:pt>
                  <c:pt idx="9">
                    <c:v>2014</c:v>
                  </c:pt>
                  <c:pt idx="10">
                    <c:v>2015</c:v>
                  </c:pt>
                  <c:pt idx="11">
                    <c:v>2016</c:v>
                  </c:pt>
                  <c:pt idx="12">
                    <c:v>2013</c:v>
                  </c:pt>
                  <c:pt idx="13">
                    <c:v>2014</c:v>
                  </c:pt>
                  <c:pt idx="14">
                    <c:v>2015</c:v>
                  </c:pt>
                  <c:pt idx="15">
                    <c:v>2016</c:v>
                  </c:pt>
                  <c:pt idx="16">
                    <c:v>2013</c:v>
                  </c:pt>
                  <c:pt idx="17">
                    <c:v>2014</c:v>
                  </c:pt>
                  <c:pt idx="18">
                    <c:v>2015</c:v>
                  </c:pt>
                  <c:pt idx="19">
                    <c:v>2016</c:v>
                  </c:pt>
                  <c:pt idx="20">
                    <c:v>2013</c:v>
                  </c:pt>
                  <c:pt idx="21">
                    <c:v>2014</c:v>
                  </c:pt>
                  <c:pt idx="22">
                    <c:v>2015</c:v>
                  </c:pt>
                  <c:pt idx="23">
                    <c:v>2016</c:v>
                  </c:pt>
                  <c:pt idx="24">
                    <c:v>2013</c:v>
                  </c:pt>
                  <c:pt idx="25">
                    <c:v>2014</c:v>
                  </c:pt>
                  <c:pt idx="26">
                    <c:v>2015</c:v>
                  </c:pt>
                  <c:pt idx="27">
                    <c:v>2016</c:v>
                  </c:pt>
                  <c:pt idx="28">
                    <c:v>2013</c:v>
                  </c:pt>
                  <c:pt idx="29">
                    <c:v>2014</c:v>
                  </c:pt>
                  <c:pt idx="30">
                    <c:v>2015</c:v>
                  </c:pt>
                  <c:pt idx="31">
                    <c:v>2016</c:v>
                  </c:pt>
                  <c:pt idx="32">
                    <c:v>2013</c:v>
                  </c:pt>
                  <c:pt idx="33">
                    <c:v>2014</c:v>
                  </c:pt>
                  <c:pt idx="34">
                    <c:v>2015</c:v>
                  </c:pt>
                  <c:pt idx="35">
                    <c:v>2016</c:v>
                  </c:pt>
                  <c:pt idx="36">
                    <c:v>2013</c:v>
                  </c:pt>
                  <c:pt idx="37">
                    <c:v>2014</c:v>
                  </c:pt>
                  <c:pt idx="38">
                    <c:v>2015</c:v>
                  </c:pt>
                  <c:pt idx="39">
                    <c:v>2016</c:v>
                  </c:pt>
                  <c:pt idx="40">
                    <c:v>2013</c:v>
                  </c:pt>
                  <c:pt idx="41">
                    <c:v>2014</c:v>
                  </c:pt>
                  <c:pt idx="42">
                    <c:v>2015</c:v>
                  </c:pt>
                  <c:pt idx="43">
                    <c:v>2016</c:v>
                  </c:pt>
                  <c:pt idx="44">
                    <c:v>2013</c:v>
                  </c:pt>
                  <c:pt idx="45">
                    <c:v>2014</c:v>
                  </c:pt>
                  <c:pt idx="46">
                    <c:v>2015</c:v>
                  </c:pt>
                  <c:pt idx="47">
                    <c:v>2016</c:v>
                  </c:pt>
                  <c:pt idx="48">
                    <c:v>2013</c:v>
                  </c:pt>
                  <c:pt idx="49">
                    <c:v>2014</c:v>
                  </c:pt>
                  <c:pt idx="50">
                    <c:v>2015</c:v>
                  </c:pt>
                  <c:pt idx="51">
                    <c:v>2016</c:v>
                  </c:pt>
                </c:lvl>
                <c:lvl>
                  <c:pt idx="0">
                    <c:v>CT</c:v>
                  </c:pt>
                  <c:pt idx="4">
                    <c:v>DE</c:v>
                  </c:pt>
                  <c:pt idx="8">
                    <c:v>DC</c:v>
                  </c:pt>
                  <c:pt idx="12">
                    <c:v>ME</c:v>
                  </c:pt>
                  <c:pt idx="16">
                    <c:v>MD</c:v>
                  </c:pt>
                  <c:pt idx="20">
                    <c:v>MA</c:v>
                  </c:pt>
                  <c:pt idx="24">
                    <c:v>NH</c:v>
                  </c:pt>
                  <c:pt idx="28">
                    <c:v>NJ</c:v>
                  </c:pt>
                  <c:pt idx="32">
                    <c:v>NY</c:v>
                  </c:pt>
                  <c:pt idx="36">
                    <c:v>PA</c:v>
                  </c:pt>
                  <c:pt idx="40">
                    <c:v>RI</c:v>
                  </c:pt>
                  <c:pt idx="44">
                    <c:v>VT</c:v>
                  </c:pt>
                  <c:pt idx="48">
                    <c:v>VA-OTR</c:v>
                  </c:pt>
                </c:lvl>
              </c:multiLvlStrCache>
            </c:multiLvlStrRef>
          </c:cat>
          <c:val>
            <c:numRef>
              <c:f>'O3 Economic Pivot S65'!$C$8:$C$72</c:f>
              <c:numCache>
                <c:formatCode>"$"#,##0</c:formatCode>
                <c:ptCount val="52"/>
                <c:pt idx="0">
                  <c:v>1255027396.75</c:v>
                </c:pt>
                <c:pt idx="1">
                  <c:v>1332957598.1875</c:v>
                </c:pt>
                <c:pt idx="2">
                  <c:v>1344903794.625</c:v>
                </c:pt>
                <c:pt idx="3">
                  <c:v>1509020480.25</c:v>
                </c:pt>
                <c:pt idx="4">
                  <c:v>233323963.859375</c:v>
                </c:pt>
                <c:pt idx="5">
                  <c:v>365151159.140625</c:v>
                </c:pt>
                <c:pt idx="6">
                  <c:v>389193466.1875</c:v>
                </c:pt>
                <c:pt idx="7">
                  <c:v>461758225.3125</c:v>
                </c:pt>
                <c:pt idx="8">
                  <c:v>111867864.078125</c:v>
                </c:pt>
                <c:pt idx="9">
                  <c:v>116251206.3125</c:v>
                </c:pt>
                <c:pt idx="10">
                  <c:v>187216942.671875</c:v>
                </c:pt>
                <c:pt idx="11">
                  <c:v>191895960.234375</c:v>
                </c:pt>
                <c:pt idx="12">
                  <c:v>108616203.6953125</c:v>
                </c:pt>
                <c:pt idx="13">
                  <c:v>78706258.5</c:v>
                </c:pt>
                <c:pt idx="14">
                  <c:v>79484860.1015625</c:v>
                </c:pt>
                <c:pt idx="15">
                  <c:v>78990071.3671875</c:v>
                </c:pt>
                <c:pt idx="16">
                  <c:v>2016768185</c:v>
                </c:pt>
                <c:pt idx="17">
                  <c:v>1803277898.625</c:v>
                </c:pt>
                <c:pt idx="18">
                  <c:v>2847468784.75</c:v>
                </c:pt>
                <c:pt idx="19">
                  <c:v>3055442731</c:v>
                </c:pt>
                <c:pt idx="20">
                  <c:v>1603665031.25</c:v>
                </c:pt>
                <c:pt idx="21">
                  <c:v>758872397.5</c:v>
                </c:pt>
                <c:pt idx="22">
                  <c:v>991835920.9375</c:v>
                </c:pt>
                <c:pt idx="23">
                  <c:v>1985781983.125</c:v>
                </c:pt>
                <c:pt idx="24">
                  <c:v>288327895.6875</c:v>
                </c:pt>
                <c:pt idx="25">
                  <c:v>172881698.2734375</c:v>
                </c:pt>
                <c:pt idx="26">
                  <c:v>89619445.76171875</c:v>
                </c:pt>
                <c:pt idx="27">
                  <c:v>229678235.546875</c:v>
                </c:pt>
                <c:pt idx="28">
                  <c:v>2925900062</c:v>
                </c:pt>
                <c:pt idx="29">
                  <c:v>3573283723</c:v>
                </c:pt>
                <c:pt idx="30">
                  <c:v>3546794485.25</c:v>
                </c:pt>
                <c:pt idx="31">
                  <c:v>3930226507</c:v>
                </c:pt>
                <c:pt idx="32">
                  <c:v>4498214761.25</c:v>
                </c:pt>
                <c:pt idx="33">
                  <c:v>3394485734</c:v>
                </c:pt>
                <c:pt idx="34">
                  <c:v>4700445751.75</c:v>
                </c:pt>
                <c:pt idx="35">
                  <c:v>6918403942.75</c:v>
                </c:pt>
                <c:pt idx="36">
                  <c:v>4947053401.25</c:v>
                </c:pt>
                <c:pt idx="37">
                  <c:v>3886684279</c:v>
                </c:pt>
                <c:pt idx="38">
                  <c:v>6475080332.5</c:v>
                </c:pt>
                <c:pt idx="39">
                  <c:v>6895376674</c:v>
                </c:pt>
                <c:pt idx="40">
                  <c:v>358088152.609375</c:v>
                </c:pt>
                <c:pt idx="41">
                  <c:v>91879892.41796875</c:v>
                </c:pt>
                <c:pt idx="42">
                  <c:v>372900507.5625</c:v>
                </c:pt>
                <c:pt idx="43">
                  <c:v>442567259.03125</c:v>
                </c:pt>
                <c:pt idx="44">
                  <c:v>35405325.685546875</c:v>
                </c:pt>
                <c:pt idx="45">
                  <c:v>26567284.28125</c:v>
                </c:pt>
                <c:pt idx="46">
                  <c:v>89593574.67578125</c:v>
                </c:pt>
                <c:pt idx="47">
                  <c:v>72501254.75</c:v>
                </c:pt>
                <c:pt idx="48">
                  <c:v>570043588.59375</c:v>
                </c:pt>
                <c:pt idx="49">
                  <c:v>433594707</c:v>
                </c:pt>
                <c:pt idx="50">
                  <c:v>717224429</c:v>
                </c:pt>
                <c:pt idx="51">
                  <c:v>810135195.1875</c:v>
                </c:pt>
              </c:numCache>
            </c:numRef>
          </c:val>
        </c:ser>
        <c:ser>
          <c:idx val="2"/>
          <c:order val="2"/>
          <c:tx>
            <c:strRef>
              <c:f>'O3 Economic Pivot S65'!$D$7</c:f>
              <c:strCache>
                <c:ptCount val="1"/>
                <c:pt idx="0">
                  <c:v> </c:v>
                </c:pt>
              </c:strCache>
            </c:strRef>
          </c:tx>
          <c:spPr>
            <a:solidFill>
              <a:schemeClr val="bg1"/>
            </a:solidFill>
            <a:ln>
              <a:noFill/>
            </a:ln>
            <a:effectLst/>
          </c:spPr>
          <c:invertIfNegative val="0"/>
          <c:cat>
            <c:multiLvlStrRef>
              <c:f>'O3 Economic Pivot S65'!$A$8:$A$72</c:f>
              <c:multiLvlStrCache>
                <c:ptCount val="52"/>
                <c:lvl>
                  <c:pt idx="0">
                    <c:v>2013</c:v>
                  </c:pt>
                  <c:pt idx="1">
                    <c:v>2014</c:v>
                  </c:pt>
                  <c:pt idx="2">
                    <c:v>2015</c:v>
                  </c:pt>
                  <c:pt idx="3">
                    <c:v>2016</c:v>
                  </c:pt>
                  <c:pt idx="4">
                    <c:v>2013</c:v>
                  </c:pt>
                  <c:pt idx="5">
                    <c:v>2014</c:v>
                  </c:pt>
                  <c:pt idx="6">
                    <c:v>2015</c:v>
                  </c:pt>
                  <c:pt idx="7">
                    <c:v>2016</c:v>
                  </c:pt>
                  <c:pt idx="8">
                    <c:v>2013</c:v>
                  </c:pt>
                  <c:pt idx="9">
                    <c:v>2014</c:v>
                  </c:pt>
                  <c:pt idx="10">
                    <c:v>2015</c:v>
                  </c:pt>
                  <c:pt idx="11">
                    <c:v>2016</c:v>
                  </c:pt>
                  <c:pt idx="12">
                    <c:v>2013</c:v>
                  </c:pt>
                  <c:pt idx="13">
                    <c:v>2014</c:v>
                  </c:pt>
                  <c:pt idx="14">
                    <c:v>2015</c:v>
                  </c:pt>
                  <c:pt idx="15">
                    <c:v>2016</c:v>
                  </c:pt>
                  <c:pt idx="16">
                    <c:v>2013</c:v>
                  </c:pt>
                  <c:pt idx="17">
                    <c:v>2014</c:v>
                  </c:pt>
                  <c:pt idx="18">
                    <c:v>2015</c:v>
                  </c:pt>
                  <c:pt idx="19">
                    <c:v>2016</c:v>
                  </c:pt>
                  <c:pt idx="20">
                    <c:v>2013</c:v>
                  </c:pt>
                  <c:pt idx="21">
                    <c:v>2014</c:v>
                  </c:pt>
                  <c:pt idx="22">
                    <c:v>2015</c:v>
                  </c:pt>
                  <c:pt idx="23">
                    <c:v>2016</c:v>
                  </c:pt>
                  <c:pt idx="24">
                    <c:v>2013</c:v>
                  </c:pt>
                  <c:pt idx="25">
                    <c:v>2014</c:v>
                  </c:pt>
                  <c:pt idx="26">
                    <c:v>2015</c:v>
                  </c:pt>
                  <c:pt idx="27">
                    <c:v>2016</c:v>
                  </c:pt>
                  <c:pt idx="28">
                    <c:v>2013</c:v>
                  </c:pt>
                  <c:pt idx="29">
                    <c:v>2014</c:v>
                  </c:pt>
                  <c:pt idx="30">
                    <c:v>2015</c:v>
                  </c:pt>
                  <c:pt idx="31">
                    <c:v>2016</c:v>
                  </c:pt>
                  <c:pt idx="32">
                    <c:v>2013</c:v>
                  </c:pt>
                  <c:pt idx="33">
                    <c:v>2014</c:v>
                  </c:pt>
                  <c:pt idx="34">
                    <c:v>2015</c:v>
                  </c:pt>
                  <c:pt idx="35">
                    <c:v>2016</c:v>
                  </c:pt>
                  <c:pt idx="36">
                    <c:v>2013</c:v>
                  </c:pt>
                  <c:pt idx="37">
                    <c:v>2014</c:v>
                  </c:pt>
                  <c:pt idx="38">
                    <c:v>2015</c:v>
                  </c:pt>
                  <c:pt idx="39">
                    <c:v>2016</c:v>
                  </c:pt>
                  <c:pt idx="40">
                    <c:v>2013</c:v>
                  </c:pt>
                  <c:pt idx="41">
                    <c:v>2014</c:v>
                  </c:pt>
                  <c:pt idx="42">
                    <c:v>2015</c:v>
                  </c:pt>
                  <c:pt idx="43">
                    <c:v>2016</c:v>
                  </c:pt>
                  <c:pt idx="44">
                    <c:v>2013</c:v>
                  </c:pt>
                  <c:pt idx="45">
                    <c:v>2014</c:v>
                  </c:pt>
                  <c:pt idx="46">
                    <c:v>2015</c:v>
                  </c:pt>
                  <c:pt idx="47">
                    <c:v>2016</c:v>
                  </c:pt>
                  <c:pt idx="48">
                    <c:v>2013</c:v>
                  </c:pt>
                  <c:pt idx="49">
                    <c:v>2014</c:v>
                  </c:pt>
                  <c:pt idx="50">
                    <c:v>2015</c:v>
                  </c:pt>
                  <c:pt idx="51">
                    <c:v>2016</c:v>
                  </c:pt>
                </c:lvl>
                <c:lvl>
                  <c:pt idx="0">
                    <c:v>CT</c:v>
                  </c:pt>
                  <c:pt idx="4">
                    <c:v>DE</c:v>
                  </c:pt>
                  <c:pt idx="8">
                    <c:v>DC</c:v>
                  </c:pt>
                  <c:pt idx="12">
                    <c:v>ME</c:v>
                  </c:pt>
                  <c:pt idx="16">
                    <c:v>MD</c:v>
                  </c:pt>
                  <c:pt idx="20">
                    <c:v>MA</c:v>
                  </c:pt>
                  <c:pt idx="24">
                    <c:v>NH</c:v>
                  </c:pt>
                  <c:pt idx="28">
                    <c:v>NJ</c:v>
                  </c:pt>
                  <c:pt idx="32">
                    <c:v>NY</c:v>
                  </c:pt>
                  <c:pt idx="36">
                    <c:v>PA</c:v>
                  </c:pt>
                  <c:pt idx="40">
                    <c:v>RI</c:v>
                  </c:pt>
                  <c:pt idx="44">
                    <c:v>VT</c:v>
                  </c:pt>
                  <c:pt idx="48">
                    <c:v>VA-OTR</c:v>
                  </c:pt>
                </c:lvl>
              </c:multiLvlStrCache>
            </c:multiLvlStrRef>
          </c:cat>
          <c:val>
            <c:numRef>
              <c:f>'O3 Economic Pivot S65'!$D$8:$D$72</c:f>
              <c:numCache>
                <c:formatCode>"$"#,##0</c:formatCode>
                <c:ptCount val="52"/>
                <c:pt idx="0">
                  <c:v>9709794.25</c:v>
                </c:pt>
                <c:pt idx="1">
                  <c:v>10168479.0625</c:v>
                </c:pt>
                <c:pt idx="2">
                  <c:v>10400116.375</c:v>
                </c:pt>
                <c:pt idx="3">
                  <c:v>11502841.75</c:v>
                </c:pt>
                <c:pt idx="4">
                  <c:v>1761003.015625</c:v>
                </c:pt>
                <c:pt idx="5">
                  <c:v>2774646.671875</c:v>
                </c:pt>
                <c:pt idx="6">
                  <c:v>3048682.8125</c:v>
                </c:pt>
                <c:pt idx="7">
                  <c:v>3566276.4375</c:v>
                </c:pt>
                <c:pt idx="8">
                  <c:v>786648.328125</c:v>
                </c:pt>
                <c:pt idx="9">
                  <c:v>791727.03125</c:v>
                </c:pt>
                <c:pt idx="10">
                  <c:v>1379852.328125</c:v>
                </c:pt>
                <c:pt idx="11">
                  <c:v>1403099.359375</c:v>
                </c:pt>
                <c:pt idx="12">
                  <c:v>761499.3359375</c:v>
                </c:pt>
                <c:pt idx="13">
                  <c:v>550028.65625</c:v>
                </c:pt>
                <c:pt idx="14">
                  <c:v>552384.9140625</c:v>
                </c:pt>
                <c:pt idx="15">
                  <c:v>542616.0390625</c:v>
                </c:pt>
                <c:pt idx="16">
                  <c:v>15416008</c:v>
                </c:pt>
                <c:pt idx="17">
                  <c:v>13351568.625</c:v>
                </c:pt>
                <c:pt idx="18">
                  <c:v>22316916.75</c:v>
                </c:pt>
                <c:pt idx="19">
                  <c:v>23486418.5</c:v>
                </c:pt>
                <c:pt idx="20">
                  <c:v>12196679</c:v>
                </c:pt>
                <c:pt idx="21">
                  <c:v>5518190.5</c:v>
                </c:pt>
                <c:pt idx="22">
                  <c:v>7395049.5625</c:v>
                </c:pt>
                <c:pt idx="23">
                  <c:v>14875739.875</c:v>
                </c:pt>
                <c:pt idx="24">
                  <c:v>2154863.1875</c:v>
                </c:pt>
                <c:pt idx="25">
                  <c:v>1228057.9140625</c:v>
                </c:pt>
                <c:pt idx="26">
                  <c:v>615936.41015625</c:v>
                </c:pt>
                <c:pt idx="27">
                  <c:v>1622974.015625</c:v>
                </c:pt>
                <c:pt idx="28">
                  <c:v>22578150.5</c:v>
                </c:pt>
                <c:pt idx="29">
                  <c:v>27275381</c:v>
                </c:pt>
                <c:pt idx="30">
                  <c:v>27614823.25</c:v>
                </c:pt>
                <c:pt idx="31">
                  <c:v>30088863.5</c:v>
                </c:pt>
                <c:pt idx="32">
                  <c:v>34082278.75</c:v>
                </c:pt>
                <c:pt idx="33">
                  <c:v>25051628.5</c:v>
                </c:pt>
                <c:pt idx="34">
                  <c:v>35741745.25</c:v>
                </c:pt>
                <c:pt idx="35">
                  <c:v>52191320.25</c:v>
                </c:pt>
                <c:pt idx="36">
                  <c:v>37564963.75</c:v>
                </c:pt>
                <c:pt idx="37">
                  <c:v>28811258.5</c:v>
                </c:pt>
                <c:pt idx="38">
                  <c:v>50085613.5</c:v>
                </c:pt>
                <c:pt idx="39">
                  <c:v>52352340</c:v>
                </c:pt>
                <c:pt idx="40">
                  <c:v>2721793.328125</c:v>
                </c:pt>
                <c:pt idx="41">
                  <c:v>630152.23828125</c:v>
                </c:pt>
                <c:pt idx="42">
                  <c:v>2819274.6875</c:v>
                </c:pt>
                <c:pt idx="43">
                  <c:v>3326982.71875</c:v>
                </c:pt>
                <c:pt idx="44">
                  <c:v>237770.572265625</c:v>
                </c:pt>
                <c:pt idx="45">
                  <c:v>174614.318359375</c:v>
                </c:pt>
                <c:pt idx="46">
                  <c:v>618846.91796875</c:v>
                </c:pt>
                <c:pt idx="47">
                  <c:v>506079.6328125</c:v>
                </c:pt>
                <c:pt idx="48">
                  <c:v>4448421.78125</c:v>
                </c:pt>
                <c:pt idx="49">
                  <c:v>3127755.125</c:v>
                </c:pt>
                <c:pt idx="50">
                  <c:v>5678926.75</c:v>
                </c:pt>
                <c:pt idx="51">
                  <c:v>6284162.4375</c:v>
                </c:pt>
              </c:numCache>
            </c:numRef>
          </c:val>
        </c:ser>
        <c:dLbls>
          <c:showLegendKey val="0"/>
          <c:showVal val="0"/>
          <c:showCatName val="0"/>
          <c:showSerName val="0"/>
          <c:showPercent val="0"/>
          <c:showBubbleSize val="0"/>
        </c:dLbls>
        <c:gapWidth val="500"/>
        <c:axId val="571119344"/>
        <c:axId val="488760208"/>
      </c:barChart>
      <c:lineChart>
        <c:grouping val="standard"/>
        <c:varyColors val="0"/>
        <c:ser>
          <c:idx val="0"/>
          <c:order val="0"/>
          <c:tx>
            <c:strRef>
              <c:f>'O3 Economic Pivot S65'!$B$7</c:f>
              <c:strCache>
                <c:ptCount val="1"/>
                <c:pt idx="0">
                  <c:v>Mean Economic Impact</c:v>
                </c:pt>
              </c:strCache>
            </c:strRef>
          </c:tx>
          <c:spPr>
            <a:ln w="28575" cap="rnd">
              <a:noFill/>
              <a:round/>
            </a:ln>
            <a:effectLst/>
          </c:spPr>
          <c:marker>
            <c:symbol val="circle"/>
            <c:size val="6"/>
            <c:spPr>
              <a:solidFill>
                <a:schemeClr val="tx1"/>
              </a:solidFill>
              <a:ln w="9525">
                <a:noFill/>
              </a:ln>
              <a:effectLst/>
            </c:spPr>
          </c:marker>
          <c:cat>
            <c:multiLvlStrRef>
              <c:f>'O3 Economic Pivot S65'!$A$8:$A$72</c:f>
              <c:multiLvlStrCache>
                <c:ptCount val="52"/>
                <c:lvl>
                  <c:pt idx="0">
                    <c:v>2013</c:v>
                  </c:pt>
                  <c:pt idx="1">
                    <c:v>2014</c:v>
                  </c:pt>
                  <c:pt idx="2">
                    <c:v>2015</c:v>
                  </c:pt>
                  <c:pt idx="3">
                    <c:v>2016</c:v>
                  </c:pt>
                  <c:pt idx="4">
                    <c:v>2013</c:v>
                  </c:pt>
                  <c:pt idx="5">
                    <c:v>2014</c:v>
                  </c:pt>
                  <c:pt idx="6">
                    <c:v>2015</c:v>
                  </c:pt>
                  <c:pt idx="7">
                    <c:v>2016</c:v>
                  </c:pt>
                  <c:pt idx="8">
                    <c:v>2013</c:v>
                  </c:pt>
                  <c:pt idx="9">
                    <c:v>2014</c:v>
                  </c:pt>
                  <c:pt idx="10">
                    <c:v>2015</c:v>
                  </c:pt>
                  <c:pt idx="11">
                    <c:v>2016</c:v>
                  </c:pt>
                  <c:pt idx="12">
                    <c:v>2013</c:v>
                  </c:pt>
                  <c:pt idx="13">
                    <c:v>2014</c:v>
                  </c:pt>
                  <c:pt idx="14">
                    <c:v>2015</c:v>
                  </c:pt>
                  <c:pt idx="15">
                    <c:v>2016</c:v>
                  </c:pt>
                  <c:pt idx="16">
                    <c:v>2013</c:v>
                  </c:pt>
                  <c:pt idx="17">
                    <c:v>2014</c:v>
                  </c:pt>
                  <c:pt idx="18">
                    <c:v>2015</c:v>
                  </c:pt>
                  <c:pt idx="19">
                    <c:v>2016</c:v>
                  </c:pt>
                  <c:pt idx="20">
                    <c:v>2013</c:v>
                  </c:pt>
                  <c:pt idx="21">
                    <c:v>2014</c:v>
                  </c:pt>
                  <c:pt idx="22">
                    <c:v>2015</c:v>
                  </c:pt>
                  <c:pt idx="23">
                    <c:v>2016</c:v>
                  </c:pt>
                  <c:pt idx="24">
                    <c:v>2013</c:v>
                  </c:pt>
                  <c:pt idx="25">
                    <c:v>2014</c:v>
                  </c:pt>
                  <c:pt idx="26">
                    <c:v>2015</c:v>
                  </c:pt>
                  <c:pt idx="27">
                    <c:v>2016</c:v>
                  </c:pt>
                  <c:pt idx="28">
                    <c:v>2013</c:v>
                  </c:pt>
                  <c:pt idx="29">
                    <c:v>2014</c:v>
                  </c:pt>
                  <c:pt idx="30">
                    <c:v>2015</c:v>
                  </c:pt>
                  <c:pt idx="31">
                    <c:v>2016</c:v>
                  </c:pt>
                  <c:pt idx="32">
                    <c:v>2013</c:v>
                  </c:pt>
                  <c:pt idx="33">
                    <c:v>2014</c:v>
                  </c:pt>
                  <c:pt idx="34">
                    <c:v>2015</c:v>
                  </c:pt>
                  <c:pt idx="35">
                    <c:v>2016</c:v>
                  </c:pt>
                  <c:pt idx="36">
                    <c:v>2013</c:v>
                  </c:pt>
                  <c:pt idx="37">
                    <c:v>2014</c:v>
                  </c:pt>
                  <c:pt idx="38">
                    <c:v>2015</c:v>
                  </c:pt>
                  <c:pt idx="39">
                    <c:v>2016</c:v>
                  </c:pt>
                  <c:pt idx="40">
                    <c:v>2013</c:v>
                  </c:pt>
                  <c:pt idx="41">
                    <c:v>2014</c:v>
                  </c:pt>
                  <c:pt idx="42">
                    <c:v>2015</c:v>
                  </c:pt>
                  <c:pt idx="43">
                    <c:v>2016</c:v>
                  </c:pt>
                  <c:pt idx="44">
                    <c:v>2013</c:v>
                  </c:pt>
                  <c:pt idx="45">
                    <c:v>2014</c:v>
                  </c:pt>
                  <c:pt idx="46">
                    <c:v>2015</c:v>
                  </c:pt>
                  <c:pt idx="47">
                    <c:v>2016</c:v>
                  </c:pt>
                  <c:pt idx="48">
                    <c:v>2013</c:v>
                  </c:pt>
                  <c:pt idx="49">
                    <c:v>2014</c:v>
                  </c:pt>
                  <c:pt idx="50">
                    <c:v>2015</c:v>
                  </c:pt>
                  <c:pt idx="51">
                    <c:v>2016</c:v>
                  </c:pt>
                </c:lvl>
                <c:lvl>
                  <c:pt idx="0">
                    <c:v>CT</c:v>
                  </c:pt>
                  <c:pt idx="4">
                    <c:v>DE</c:v>
                  </c:pt>
                  <c:pt idx="8">
                    <c:v>DC</c:v>
                  </c:pt>
                  <c:pt idx="12">
                    <c:v>ME</c:v>
                  </c:pt>
                  <c:pt idx="16">
                    <c:v>MD</c:v>
                  </c:pt>
                  <c:pt idx="20">
                    <c:v>MA</c:v>
                  </c:pt>
                  <c:pt idx="24">
                    <c:v>NH</c:v>
                  </c:pt>
                  <c:pt idx="28">
                    <c:v>NJ</c:v>
                  </c:pt>
                  <c:pt idx="32">
                    <c:v>NY</c:v>
                  </c:pt>
                  <c:pt idx="36">
                    <c:v>PA</c:v>
                  </c:pt>
                  <c:pt idx="40">
                    <c:v>RI</c:v>
                  </c:pt>
                  <c:pt idx="44">
                    <c:v>VT</c:v>
                  </c:pt>
                  <c:pt idx="48">
                    <c:v>VA-OTR</c:v>
                  </c:pt>
                </c:lvl>
              </c:multiLvlStrCache>
            </c:multiLvlStrRef>
          </c:cat>
          <c:val>
            <c:numRef>
              <c:f>'O3 Economic Pivot S65'!$B$8:$B$72</c:f>
              <c:numCache>
                <c:formatCode>"$"#,##0</c:formatCode>
                <c:ptCount val="52"/>
                <c:pt idx="0">
                  <c:v>632368595.5</c:v>
                </c:pt>
                <c:pt idx="1">
                  <c:v>671563038.625</c:v>
                </c:pt>
                <c:pt idx="2">
                  <c:v>677651955.5</c:v>
                </c:pt>
                <c:pt idx="3">
                  <c:v>760261661</c:v>
                </c:pt>
                <c:pt idx="4">
                  <c:v>117542483.4375</c:v>
                </c:pt>
                <c:pt idx="5">
                  <c:v>183962902.90625</c:v>
                </c:pt>
                <c:pt idx="6">
                  <c:v>196121074.5</c:v>
                </c:pt>
                <c:pt idx="7">
                  <c:v>232662250.875</c:v>
                </c:pt>
                <c:pt idx="8">
                  <c:v>56327256.203125</c:v>
                </c:pt>
                <c:pt idx="9">
                  <c:v>58521466.671875</c:v>
                </c:pt>
                <c:pt idx="10">
                  <c:v>94298397.5</c:v>
                </c:pt>
                <c:pt idx="11">
                  <c:v>96649529.796875</c:v>
                </c:pt>
                <c:pt idx="12">
                  <c:v>54688851.515625</c:v>
                </c:pt>
                <c:pt idx="13">
                  <c:v>39628143.578125</c:v>
                </c:pt>
                <c:pt idx="14">
                  <c:v>40018622.5078125</c:v>
                </c:pt>
                <c:pt idx="15">
                  <c:v>39766343.703125</c:v>
                </c:pt>
                <c:pt idx="16">
                  <c:v>1016092096.5</c:v>
                </c:pt>
                <c:pt idx="17">
                  <c:v>908314733.625</c:v>
                </c:pt>
                <c:pt idx="18">
                  <c:v>1434892850.75</c:v>
                </c:pt>
                <c:pt idx="19">
                  <c:v>1539464574.75</c:v>
                </c:pt>
                <c:pt idx="20">
                  <c:v>807930855.125</c:v>
                </c:pt>
                <c:pt idx="21">
                  <c:v>382195294</c:v>
                </c:pt>
                <c:pt idx="22">
                  <c:v>499615485.25</c:v>
                </c:pt>
                <c:pt idx="23">
                  <c:v>1000328861.5</c:v>
                </c:pt>
                <c:pt idx="24">
                  <c:v>145241379.4375</c:v>
                </c:pt>
                <c:pt idx="25">
                  <c:v>87054878.09375</c:v>
                </c:pt>
                <c:pt idx="26">
                  <c:v>45117691.0859375</c:v>
                </c:pt>
                <c:pt idx="27">
                  <c:v>115650604.78125</c:v>
                </c:pt>
                <c:pt idx="28">
                  <c:v>1474239106.25</c:v>
                </c:pt>
                <c:pt idx="29">
                  <c:v>1800279552</c:v>
                </c:pt>
                <c:pt idx="30">
                  <c:v>1787204654.25</c:v>
                </c:pt>
                <c:pt idx="31">
                  <c:v>1980157685.25</c:v>
                </c:pt>
                <c:pt idx="32">
                  <c:v>2266148520</c:v>
                </c:pt>
                <c:pt idx="33">
                  <c:v>1709768681.25</c:v>
                </c:pt>
                <c:pt idx="34">
                  <c:v>2368093748.5</c:v>
                </c:pt>
                <c:pt idx="35">
                  <c:v>3485297631.5</c:v>
                </c:pt>
                <c:pt idx="36">
                  <c:v>2492309182.5</c:v>
                </c:pt>
                <c:pt idx="37">
                  <c:v>1957747768.75</c:v>
                </c:pt>
                <c:pt idx="38">
                  <c:v>3262582973</c:v>
                </c:pt>
                <c:pt idx="39">
                  <c:v>3473864507</c:v>
                </c:pt>
                <c:pt idx="40">
                  <c:v>180404972.96875</c:v>
                </c:pt>
                <c:pt idx="41">
                  <c:v>46255022.328125</c:v>
                </c:pt>
                <c:pt idx="42">
                  <c:v>187859891.125</c:v>
                </c:pt>
                <c:pt idx="43">
                  <c:v>222947120.875</c:v>
                </c:pt>
                <c:pt idx="44">
                  <c:v>17821548.12890625</c:v>
                </c:pt>
                <c:pt idx="45">
                  <c:v>13370949.299804687</c:v>
                </c:pt>
                <c:pt idx="46">
                  <c:v>45106210.796875</c:v>
                </c:pt>
                <c:pt idx="47">
                  <c:v>36503667.19140625</c:v>
                </c:pt>
                <c:pt idx="48">
                  <c:v>287246005.1875</c:v>
                </c:pt>
                <c:pt idx="49">
                  <c:v>218361231.0625</c:v>
                </c:pt>
                <c:pt idx="50">
                  <c:v>361451677.875</c:v>
                </c:pt>
                <c:pt idx="51">
                  <c:v>408209678.8125</c:v>
                </c:pt>
              </c:numCache>
            </c:numRef>
          </c:val>
          <c:smooth val="0"/>
        </c:ser>
        <c:dLbls>
          <c:showLegendKey val="0"/>
          <c:showVal val="0"/>
          <c:showCatName val="0"/>
          <c:showSerName val="0"/>
          <c:showPercent val="0"/>
          <c:showBubbleSize val="0"/>
        </c:dLbls>
        <c:marker val="1"/>
        <c:smooth val="0"/>
        <c:axId val="571119344"/>
        <c:axId val="488760208"/>
      </c:lineChart>
      <c:catAx>
        <c:axId val="57111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88760208"/>
        <c:crosses val="autoZero"/>
        <c:auto val="1"/>
        <c:lblAlgn val="ctr"/>
        <c:lblOffset val="100"/>
        <c:noMultiLvlLbl val="0"/>
      </c:catAx>
      <c:valAx>
        <c:axId val="48876020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71119344"/>
        <c:crosses val="autoZero"/>
        <c:crossBetween val="between"/>
        <c:dispUnits>
          <c:builtInUnit val="billions"/>
          <c:dispUnitsLbl>
            <c:layout/>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t"/>
      <c:layout>
        <c:manualLayout>
          <c:xMode val="edge"/>
          <c:yMode val="edge"/>
          <c:x val="8.1358772461134682E-2"/>
          <c:y val="3.542670802513323E-2"/>
          <c:w val="0.45140049801467125"/>
          <c:h val="0.1525093454227312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[BenMap Rollback Analysis Results - v1.3.52.xlsx]O3 Economic Pivot S40!PivotTable2</c:name>
    <c:fmtId val="28"/>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w="28575" cap="rnd">
            <a:noFill/>
            <a:round/>
          </a:ln>
          <a:effectLst/>
        </c:spPr>
        <c:marker>
          <c:symbol val="circle"/>
          <c:size val="6"/>
          <c:spPr>
            <a:solidFill>
              <a:schemeClr val="tx1"/>
            </a:solidFill>
            <a:ln w="9525">
              <a:noFill/>
            </a:ln>
            <a:effectLst/>
          </c:spPr>
        </c:marker>
      </c:pivotFmt>
      <c:pivotFmt>
        <c:idx val="7"/>
        <c:spPr>
          <a:solidFill>
            <a:schemeClr val="accent6">
              <a:lumMod val="40000"/>
              <a:lumOff val="60000"/>
            </a:schemeClr>
          </a:solidFill>
          <a:ln>
            <a:noFill/>
          </a:ln>
          <a:effectLst/>
        </c:spPr>
        <c:marker>
          <c:symbol val="none"/>
        </c:marker>
      </c:pivotFmt>
      <c:pivotFmt>
        <c:idx val="8"/>
        <c:spPr>
          <a:solidFill>
            <a:schemeClr val="bg1"/>
          </a:solidFill>
          <a:ln>
            <a:noFill/>
          </a:ln>
          <a:effectLst/>
        </c:spPr>
        <c:marker>
          <c:symbol val="none"/>
        </c:marker>
      </c:pivotFmt>
      <c:pivotFmt>
        <c:idx val="9"/>
        <c:spPr>
          <a:solidFill>
            <a:schemeClr val="accent6">
              <a:lumMod val="40000"/>
              <a:lumOff val="60000"/>
            </a:schemeClr>
          </a:solidFill>
          <a:ln>
            <a:noFill/>
          </a:ln>
          <a:effectLst/>
        </c:spPr>
      </c:pivotFmt>
      <c:pivotFmt>
        <c:idx val="10"/>
        <c:spPr>
          <a:solidFill>
            <a:schemeClr val="accent6">
              <a:lumMod val="40000"/>
              <a:lumOff val="60000"/>
            </a:schemeClr>
          </a:solidFill>
          <a:ln>
            <a:noFill/>
          </a:ln>
          <a:effectLst/>
        </c:spPr>
        <c:marker>
          <c:symbol val="none"/>
        </c:marker>
      </c:pivotFmt>
      <c:pivotFmt>
        <c:idx val="11"/>
        <c:spPr>
          <a:solidFill>
            <a:schemeClr val="bg1"/>
          </a:solidFill>
          <a:ln>
            <a:noFill/>
          </a:ln>
          <a:effectLst/>
        </c:spPr>
        <c:marker>
          <c:symbol val="none"/>
        </c:marker>
      </c:pivotFmt>
      <c:pivotFmt>
        <c:idx val="12"/>
        <c:spPr>
          <a:solidFill>
            <a:schemeClr val="accent1"/>
          </a:solidFill>
          <a:ln w="28575" cap="rnd">
            <a:noFill/>
            <a:round/>
          </a:ln>
          <a:effectLst/>
        </c:spPr>
        <c:marker>
          <c:symbol val="circle"/>
          <c:size val="6"/>
          <c:spPr>
            <a:solidFill>
              <a:schemeClr val="tx1"/>
            </a:solidFill>
            <a:ln w="9525">
              <a:noFill/>
            </a:ln>
            <a:effectLst/>
          </c:spPr>
        </c:marker>
      </c:pivotFmt>
      <c:pivotFmt>
        <c:idx val="13"/>
        <c:spPr>
          <a:solidFill>
            <a:schemeClr val="accent6">
              <a:lumMod val="40000"/>
              <a:lumOff val="60000"/>
            </a:schemeClr>
          </a:solidFill>
          <a:ln>
            <a:noFill/>
          </a:ln>
          <a:effectLst/>
        </c:spPr>
        <c:marker>
          <c:symbol val="none"/>
        </c:marker>
      </c:pivotFmt>
      <c:pivotFmt>
        <c:idx val="14"/>
        <c:spPr>
          <a:solidFill>
            <a:schemeClr val="bg1"/>
          </a:solidFill>
          <a:ln>
            <a:noFill/>
          </a:ln>
          <a:effectLst/>
        </c:spPr>
        <c:marker>
          <c:symbol val="none"/>
        </c:marker>
      </c:pivotFmt>
      <c:pivotFmt>
        <c:idx val="15"/>
        <c:spPr>
          <a:solidFill>
            <a:schemeClr val="accent1"/>
          </a:solidFill>
          <a:ln w="28575" cap="rnd">
            <a:noFill/>
            <a:round/>
          </a:ln>
          <a:effectLst/>
        </c:spPr>
        <c:marker>
          <c:symbol val="circle"/>
          <c:size val="6"/>
          <c:spPr>
            <a:solidFill>
              <a:schemeClr val="tx1"/>
            </a:solidFill>
            <a:ln w="9525">
              <a:noFill/>
            </a:ln>
            <a:effectLst/>
          </c:spPr>
        </c:marker>
      </c:pivotFmt>
      <c:pivotFmt>
        <c:idx val="16"/>
        <c:spPr>
          <a:solidFill>
            <a:schemeClr val="accent6">
              <a:lumMod val="40000"/>
              <a:lumOff val="60000"/>
            </a:schemeClr>
          </a:solidFill>
          <a:ln>
            <a:noFill/>
          </a:ln>
          <a:effectLst/>
        </c:spPr>
        <c:marker>
          <c:symbol val="none"/>
        </c:marker>
      </c:pivotFmt>
      <c:pivotFmt>
        <c:idx val="17"/>
        <c:spPr>
          <a:solidFill>
            <a:schemeClr val="bg1"/>
          </a:solidFill>
          <a:ln>
            <a:noFill/>
          </a:ln>
          <a:effectLst/>
        </c:spPr>
        <c:marker>
          <c:symbol val="none"/>
        </c:marker>
      </c:pivotFmt>
      <c:pivotFmt>
        <c:idx val="18"/>
        <c:spPr>
          <a:solidFill>
            <a:schemeClr val="accent1"/>
          </a:solidFill>
          <a:ln w="28575" cap="rnd">
            <a:noFill/>
            <a:round/>
          </a:ln>
          <a:effectLst/>
        </c:spPr>
        <c:marker>
          <c:symbol val="circle"/>
          <c:size val="6"/>
          <c:spPr>
            <a:solidFill>
              <a:schemeClr val="tx1"/>
            </a:solidFill>
            <a:ln w="9525">
              <a:noFill/>
            </a:ln>
            <a:effectLst/>
          </c:spPr>
        </c:marker>
      </c:pivotFmt>
      <c:pivotFmt>
        <c:idx val="19"/>
        <c:spPr>
          <a:solidFill>
            <a:schemeClr val="accent6">
              <a:lumMod val="40000"/>
              <a:lumOff val="60000"/>
            </a:schemeClr>
          </a:solidFill>
          <a:ln>
            <a:noFill/>
          </a:ln>
          <a:effectLst/>
        </c:spPr>
        <c:marker>
          <c:symbol val="none"/>
        </c:marker>
      </c:pivotFmt>
      <c:pivotFmt>
        <c:idx val="20"/>
        <c:spPr>
          <a:solidFill>
            <a:schemeClr val="bg1"/>
          </a:solidFill>
          <a:ln>
            <a:noFill/>
          </a:ln>
          <a:effectLst/>
        </c:spPr>
        <c:marker>
          <c:symbol val="none"/>
        </c:marker>
      </c:pivotFmt>
      <c:pivotFmt>
        <c:idx val="21"/>
        <c:spPr>
          <a:solidFill>
            <a:schemeClr val="accent1"/>
          </a:solidFill>
          <a:ln w="28575" cap="rnd">
            <a:noFill/>
            <a:round/>
          </a:ln>
          <a:effectLst/>
        </c:spPr>
        <c:marker>
          <c:symbol val="circle"/>
          <c:size val="6"/>
          <c:spPr>
            <a:solidFill>
              <a:schemeClr val="tx1"/>
            </a:solidFill>
            <a:ln w="9525">
              <a:noFill/>
            </a:ln>
            <a:effectLst/>
          </c:spPr>
        </c:marker>
      </c:pivotFmt>
    </c:pivotFmts>
    <c:plotArea>
      <c:layout/>
      <c:barChart>
        <c:barDir val="col"/>
        <c:grouping val="clustered"/>
        <c:varyColors val="0"/>
        <c:ser>
          <c:idx val="1"/>
          <c:order val="1"/>
          <c:tx>
            <c:strRef>
              <c:f>'O3 Economic Pivot S40'!$C$7</c:f>
              <c:strCache>
                <c:ptCount val="1"/>
                <c:pt idx="0">
                  <c:v>2 Standard Deviations</c:v>
                </c:pt>
              </c:strCache>
            </c:strRef>
          </c:tx>
          <c:spPr>
            <a:solidFill>
              <a:schemeClr val="accent6">
                <a:lumMod val="40000"/>
                <a:lumOff val="60000"/>
              </a:schemeClr>
            </a:solidFill>
            <a:ln>
              <a:noFill/>
            </a:ln>
            <a:effectLst/>
          </c:spPr>
          <c:invertIfNegative val="0"/>
          <c:cat>
            <c:multiLvlStrRef>
              <c:f>'O3 Economic Pivot S40'!$A$8:$A$72</c:f>
              <c:multiLvlStrCache>
                <c:ptCount val="52"/>
                <c:lvl>
                  <c:pt idx="0">
                    <c:v>2013</c:v>
                  </c:pt>
                  <c:pt idx="1">
                    <c:v>2014</c:v>
                  </c:pt>
                  <c:pt idx="2">
                    <c:v>2015</c:v>
                  </c:pt>
                  <c:pt idx="3">
                    <c:v>2016</c:v>
                  </c:pt>
                  <c:pt idx="4">
                    <c:v>2013</c:v>
                  </c:pt>
                  <c:pt idx="5">
                    <c:v>2014</c:v>
                  </c:pt>
                  <c:pt idx="6">
                    <c:v>2015</c:v>
                  </c:pt>
                  <c:pt idx="7">
                    <c:v>2016</c:v>
                  </c:pt>
                  <c:pt idx="8">
                    <c:v>2013</c:v>
                  </c:pt>
                  <c:pt idx="9">
                    <c:v>2014</c:v>
                  </c:pt>
                  <c:pt idx="10">
                    <c:v>2015</c:v>
                  </c:pt>
                  <c:pt idx="11">
                    <c:v>2016</c:v>
                  </c:pt>
                  <c:pt idx="12">
                    <c:v>2013</c:v>
                  </c:pt>
                  <c:pt idx="13">
                    <c:v>2014</c:v>
                  </c:pt>
                  <c:pt idx="14">
                    <c:v>2015</c:v>
                  </c:pt>
                  <c:pt idx="15">
                    <c:v>2016</c:v>
                  </c:pt>
                  <c:pt idx="16">
                    <c:v>2013</c:v>
                  </c:pt>
                  <c:pt idx="17">
                    <c:v>2014</c:v>
                  </c:pt>
                  <c:pt idx="18">
                    <c:v>2015</c:v>
                  </c:pt>
                  <c:pt idx="19">
                    <c:v>2016</c:v>
                  </c:pt>
                  <c:pt idx="20">
                    <c:v>2013</c:v>
                  </c:pt>
                  <c:pt idx="21">
                    <c:v>2014</c:v>
                  </c:pt>
                  <c:pt idx="22">
                    <c:v>2015</c:v>
                  </c:pt>
                  <c:pt idx="23">
                    <c:v>2016</c:v>
                  </c:pt>
                  <c:pt idx="24">
                    <c:v>2013</c:v>
                  </c:pt>
                  <c:pt idx="25">
                    <c:v>2014</c:v>
                  </c:pt>
                  <c:pt idx="26">
                    <c:v>2015</c:v>
                  </c:pt>
                  <c:pt idx="27">
                    <c:v>2016</c:v>
                  </c:pt>
                  <c:pt idx="28">
                    <c:v>2013</c:v>
                  </c:pt>
                  <c:pt idx="29">
                    <c:v>2014</c:v>
                  </c:pt>
                  <c:pt idx="30">
                    <c:v>2015</c:v>
                  </c:pt>
                  <c:pt idx="31">
                    <c:v>2016</c:v>
                  </c:pt>
                  <c:pt idx="32">
                    <c:v>2013</c:v>
                  </c:pt>
                  <c:pt idx="33">
                    <c:v>2014</c:v>
                  </c:pt>
                  <c:pt idx="34">
                    <c:v>2015</c:v>
                  </c:pt>
                  <c:pt idx="35">
                    <c:v>2016</c:v>
                  </c:pt>
                  <c:pt idx="36">
                    <c:v>2013</c:v>
                  </c:pt>
                  <c:pt idx="37">
                    <c:v>2014</c:v>
                  </c:pt>
                  <c:pt idx="38">
                    <c:v>2015</c:v>
                  </c:pt>
                  <c:pt idx="39">
                    <c:v>2016</c:v>
                  </c:pt>
                  <c:pt idx="40">
                    <c:v>2013</c:v>
                  </c:pt>
                  <c:pt idx="41">
                    <c:v>2014</c:v>
                  </c:pt>
                  <c:pt idx="42">
                    <c:v>2015</c:v>
                  </c:pt>
                  <c:pt idx="43">
                    <c:v>2016</c:v>
                  </c:pt>
                  <c:pt idx="44">
                    <c:v>2013</c:v>
                  </c:pt>
                  <c:pt idx="45">
                    <c:v>2014</c:v>
                  </c:pt>
                  <c:pt idx="46">
                    <c:v>2015</c:v>
                  </c:pt>
                  <c:pt idx="47">
                    <c:v>2016</c:v>
                  </c:pt>
                  <c:pt idx="48">
                    <c:v>2013</c:v>
                  </c:pt>
                  <c:pt idx="49">
                    <c:v>2014</c:v>
                  </c:pt>
                  <c:pt idx="50">
                    <c:v>2015</c:v>
                  </c:pt>
                  <c:pt idx="51">
                    <c:v>2016</c:v>
                  </c:pt>
                </c:lvl>
                <c:lvl>
                  <c:pt idx="0">
                    <c:v>CT</c:v>
                  </c:pt>
                  <c:pt idx="4">
                    <c:v>DE</c:v>
                  </c:pt>
                  <c:pt idx="8">
                    <c:v>DC</c:v>
                  </c:pt>
                  <c:pt idx="12">
                    <c:v>ME</c:v>
                  </c:pt>
                  <c:pt idx="16">
                    <c:v>MD</c:v>
                  </c:pt>
                  <c:pt idx="20">
                    <c:v>MA</c:v>
                  </c:pt>
                  <c:pt idx="24">
                    <c:v>NH</c:v>
                  </c:pt>
                  <c:pt idx="28">
                    <c:v>NJ</c:v>
                  </c:pt>
                  <c:pt idx="32">
                    <c:v>NY</c:v>
                  </c:pt>
                  <c:pt idx="36">
                    <c:v>PA</c:v>
                  </c:pt>
                  <c:pt idx="40">
                    <c:v>RI</c:v>
                  </c:pt>
                  <c:pt idx="44">
                    <c:v>VT</c:v>
                  </c:pt>
                  <c:pt idx="48">
                    <c:v>VA-OTR</c:v>
                  </c:pt>
                </c:lvl>
              </c:multiLvlStrCache>
            </c:multiLvlStrRef>
          </c:cat>
          <c:val>
            <c:numRef>
              <c:f>'O3 Economic Pivot S40'!$C$8:$C$72</c:f>
              <c:numCache>
                <c:formatCode>"$"#,##0</c:formatCode>
                <c:ptCount val="52"/>
                <c:pt idx="0">
                  <c:v>1514160514.375</c:v>
                </c:pt>
                <c:pt idx="1">
                  <c:v>1659702989.5</c:v>
                </c:pt>
                <c:pt idx="2">
                  <c:v>1643938028</c:v>
                </c:pt>
                <c:pt idx="3">
                  <c:v>1871600252.75</c:v>
                </c:pt>
                <c:pt idx="4">
                  <c:v>325236002.71875</c:v>
                </c:pt>
                <c:pt idx="5">
                  <c:v>407197850.125</c:v>
                </c:pt>
                <c:pt idx="6">
                  <c:v>438408842.4375</c:v>
                </c:pt>
                <c:pt idx="7">
                  <c:v>496291858.25</c:v>
                </c:pt>
                <c:pt idx="8">
                  <c:v>148139730.3046875</c:v>
                </c:pt>
                <c:pt idx="9">
                  <c:v>11485.841796875</c:v>
                </c:pt>
                <c:pt idx="10">
                  <c:v>206407194.546875</c:v>
                </c:pt>
                <c:pt idx="11">
                  <c:v>197913578.0078125</c:v>
                </c:pt>
                <c:pt idx="12">
                  <c:v>326565562.875</c:v>
                </c:pt>
                <c:pt idx="13">
                  <c:v>445018933.75</c:v>
                </c:pt>
                <c:pt idx="14">
                  <c:v>320681836.3125</c:v>
                </c:pt>
                <c:pt idx="15">
                  <c:v>330758709.65625</c:v>
                </c:pt>
                <c:pt idx="16">
                  <c:v>2312329345.625</c:v>
                </c:pt>
                <c:pt idx="17">
                  <c:v>2490157090.625</c:v>
                </c:pt>
                <c:pt idx="18">
                  <c:v>3070409898.25</c:v>
                </c:pt>
                <c:pt idx="19">
                  <c:v>3361871687.375</c:v>
                </c:pt>
                <c:pt idx="20">
                  <c:v>1913760195.5</c:v>
                </c:pt>
                <c:pt idx="21">
                  <c:v>1759158132.875</c:v>
                </c:pt>
                <c:pt idx="22">
                  <c:v>1853140510.375</c:v>
                </c:pt>
                <c:pt idx="23">
                  <c:v>2341107219.5</c:v>
                </c:pt>
                <c:pt idx="24">
                  <c:v>342491197.828125</c:v>
                </c:pt>
                <c:pt idx="25">
                  <c:v>374699237.515625</c:v>
                </c:pt>
                <c:pt idx="26">
                  <c:v>388927762.3125</c:v>
                </c:pt>
                <c:pt idx="27">
                  <c:v>438113088.875</c:v>
                </c:pt>
                <c:pt idx="28">
                  <c:v>3258760514.5</c:v>
                </c:pt>
                <c:pt idx="29">
                  <c:v>4183726926.25</c:v>
                </c:pt>
                <c:pt idx="30">
                  <c:v>4010131827.75</c:v>
                </c:pt>
                <c:pt idx="31">
                  <c:v>4472120065</c:v>
                </c:pt>
                <c:pt idx="32">
                  <c:v>6155726458.75</c:v>
                </c:pt>
                <c:pt idx="33">
                  <c:v>6565426936.5</c:v>
                </c:pt>
                <c:pt idx="34">
                  <c:v>6950993116</c:v>
                </c:pt>
                <c:pt idx="35">
                  <c:v>7787909573.5</c:v>
                </c:pt>
                <c:pt idx="36">
                  <c:v>5820967580.25</c:v>
                </c:pt>
                <c:pt idx="37">
                  <c:v>6006173472.75</c:v>
                </c:pt>
                <c:pt idx="38">
                  <c:v>6996312492</c:v>
                </c:pt>
                <c:pt idx="39">
                  <c:v>7877105148.5</c:v>
                </c:pt>
                <c:pt idx="40">
                  <c:v>402814861.8125</c:v>
                </c:pt>
                <c:pt idx="41">
                  <c:v>406295258.921875</c:v>
                </c:pt>
                <c:pt idx="42">
                  <c:v>450406870.71875</c:v>
                </c:pt>
                <c:pt idx="43">
                  <c:v>502889376.625</c:v>
                </c:pt>
                <c:pt idx="44">
                  <c:v>197007371.7578125</c:v>
                </c:pt>
                <c:pt idx="45">
                  <c:v>209862974.0703125</c:v>
                </c:pt>
                <c:pt idx="46">
                  <c:v>204411782.3046875</c:v>
                </c:pt>
                <c:pt idx="47">
                  <c:v>219418321.546875</c:v>
                </c:pt>
                <c:pt idx="48">
                  <c:v>534655343.6875</c:v>
                </c:pt>
                <c:pt idx="49">
                  <c:v>653205248.375</c:v>
                </c:pt>
                <c:pt idx="50">
                  <c:v>757231561.5625</c:v>
                </c:pt>
                <c:pt idx="51">
                  <c:v>825582982.1875</c:v>
                </c:pt>
              </c:numCache>
            </c:numRef>
          </c:val>
        </c:ser>
        <c:ser>
          <c:idx val="2"/>
          <c:order val="2"/>
          <c:tx>
            <c:strRef>
              <c:f>'O3 Economic Pivot S40'!$D$7</c:f>
              <c:strCache>
                <c:ptCount val="1"/>
                <c:pt idx="0">
                  <c:v> </c:v>
                </c:pt>
              </c:strCache>
            </c:strRef>
          </c:tx>
          <c:spPr>
            <a:solidFill>
              <a:schemeClr val="bg1"/>
            </a:solidFill>
            <a:ln>
              <a:noFill/>
            </a:ln>
            <a:effectLst/>
          </c:spPr>
          <c:invertIfNegative val="0"/>
          <c:cat>
            <c:multiLvlStrRef>
              <c:f>'O3 Economic Pivot S40'!$A$8:$A$72</c:f>
              <c:multiLvlStrCache>
                <c:ptCount val="52"/>
                <c:lvl>
                  <c:pt idx="0">
                    <c:v>2013</c:v>
                  </c:pt>
                  <c:pt idx="1">
                    <c:v>2014</c:v>
                  </c:pt>
                  <c:pt idx="2">
                    <c:v>2015</c:v>
                  </c:pt>
                  <c:pt idx="3">
                    <c:v>2016</c:v>
                  </c:pt>
                  <c:pt idx="4">
                    <c:v>2013</c:v>
                  </c:pt>
                  <c:pt idx="5">
                    <c:v>2014</c:v>
                  </c:pt>
                  <c:pt idx="6">
                    <c:v>2015</c:v>
                  </c:pt>
                  <c:pt idx="7">
                    <c:v>2016</c:v>
                  </c:pt>
                  <c:pt idx="8">
                    <c:v>2013</c:v>
                  </c:pt>
                  <c:pt idx="9">
                    <c:v>2014</c:v>
                  </c:pt>
                  <c:pt idx="10">
                    <c:v>2015</c:v>
                  </c:pt>
                  <c:pt idx="11">
                    <c:v>2016</c:v>
                  </c:pt>
                  <c:pt idx="12">
                    <c:v>2013</c:v>
                  </c:pt>
                  <c:pt idx="13">
                    <c:v>2014</c:v>
                  </c:pt>
                  <c:pt idx="14">
                    <c:v>2015</c:v>
                  </c:pt>
                  <c:pt idx="15">
                    <c:v>2016</c:v>
                  </c:pt>
                  <c:pt idx="16">
                    <c:v>2013</c:v>
                  </c:pt>
                  <c:pt idx="17">
                    <c:v>2014</c:v>
                  </c:pt>
                  <c:pt idx="18">
                    <c:v>2015</c:v>
                  </c:pt>
                  <c:pt idx="19">
                    <c:v>2016</c:v>
                  </c:pt>
                  <c:pt idx="20">
                    <c:v>2013</c:v>
                  </c:pt>
                  <c:pt idx="21">
                    <c:v>2014</c:v>
                  </c:pt>
                  <c:pt idx="22">
                    <c:v>2015</c:v>
                  </c:pt>
                  <c:pt idx="23">
                    <c:v>2016</c:v>
                  </c:pt>
                  <c:pt idx="24">
                    <c:v>2013</c:v>
                  </c:pt>
                  <c:pt idx="25">
                    <c:v>2014</c:v>
                  </c:pt>
                  <c:pt idx="26">
                    <c:v>2015</c:v>
                  </c:pt>
                  <c:pt idx="27">
                    <c:v>2016</c:v>
                  </c:pt>
                  <c:pt idx="28">
                    <c:v>2013</c:v>
                  </c:pt>
                  <c:pt idx="29">
                    <c:v>2014</c:v>
                  </c:pt>
                  <c:pt idx="30">
                    <c:v>2015</c:v>
                  </c:pt>
                  <c:pt idx="31">
                    <c:v>2016</c:v>
                  </c:pt>
                  <c:pt idx="32">
                    <c:v>2013</c:v>
                  </c:pt>
                  <c:pt idx="33">
                    <c:v>2014</c:v>
                  </c:pt>
                  <c:pt idx="34">
                    <c:v>2015</c:v>
                  </c:pt>
                  <c:pt idx="35">
                    <c:v>2016</c:v>
                  </c:pt>
                  <c:pt idx="36">
                    <c:v>2013</c:v>
                  </c:pt>
                  <c:pt idx="37">
                    <c:v>2014</c:v>
                  </c:pt>
                  <c:pt idx="38">
                    <c:v>2015</c:v>
                  </c:pt>
                  <c:pt idx="39">
                    <c:v>2016</c:v>
                  </c:pt>
                  <c:pt idx="40">
                    <c:v>2013</c:v>
                  </c:pt>
                  <c:pt idx="41">
                    <c:v>2014</c:v>
                  </c:pt>
                  <c:pt idx="42">
                    <c:v>2015</c:v>
                  </c:pt>
                  <c:pt idx="43">
                    <c:v>2016</c:v>
                  </c:pt>
                  <c:pt idx="44">
                    <c:v>2013</c:v>
                  </c:pt>
                  <c:pt idx="45">
                    <c:v>2014</c:v>
                  </c:pt>
                  <c:pt idx="46">
                    <c:v>2015</c:v>
                  </c:pt>
                  <c:pt idx="47">
                    <c:v>2016</c:v>
                  </c:pt>
                  <c:pt idx="48">
                    <c:v>2013</c:v>
                  </c:pt>
                  <c:pt idx="49">
                    <c:v>2014</c:v>
                  </c:pt>
                  <c:pt idx="50">
                    <c:v>2015</c:v>
                  </c:pt>
                  <c:pt idx="51">
                    <c:v>2016</c:v>
                  </c:pt>
                </c:lvl>
                <c:lvl>
                  <c:pt idx="0">
                    <c:v>CT</c:v>
                  </c:pt>
                  <c:pt idx="4">
                    <c:v>DE</c:v>
                  </c:pt>
                  <c:pt idx="8">
                    <c:v>DC</c:v>
                  </c:pt>
                  <c:pt idx="12">
                    <c:v>ME</c:v>
                  </c:pt>
                  <c:pt idx="16">
                    <c:v>MD</c:v>
                  </c:pt>
                  <c:pt idx="20">
                    <c:v>MA</c:v>
                  </c:pt>
                  <c:pt idx="24">
                    <c:v>NH</c:v>
                  </c:pt>
                  <c:pt idx="28">
                    <c:v>NJ</c:v>
                  </c:pt>
                  <c:pt idx="32">
                    <c:v>NY</c:v>
                  </c:pt>
                  <c:pt idx="36">
                    <c:v>PA</c:v>
                  </c:pt>
                  <c:pt idx="40">
                    <c:v>RI</c:v>
                  </c:pt>
                  <c:pt idx="44">
                    <c:v>VT</c:v>
                  </c:pt>
                  <c:pt idx="48">
                    <c:v>VA-OTR</c:v>
                  </c:pt>
                </c:lvl>
              </c:multiLvlStrCache>
            </c:multiLvlStrRef>
          </c:cat>
          <c:val>
            <c:numRef>
              <c:f>'O3 Economic Pivot S40'!$D$8:$D$72</c:f>
              <c:numCache>
                <c:formatCode>"$"#,##0</c:formatCode>
                <c:ptCount val="52"/>
                <c:pt idx="0">
                  <c:v>12026252.125</c:v>
                </c:pt>
                <c:pt idx="1">
                  <c:v>13017350.25</c:v>
                </c:pt>
                <c:pt idx="2">
                  <c:v>13077787</c:v>
                </c:pt>
                <c:pt idx="3">
                  <c:v>14728001</c:v>
                </c:pt>
                <c:pt idx="4">
                  <c:v>2509247.46875</c:v>
                </c:pt>
                <c:pt idx="5">
                  <c:v>3172936.8125</c:v>
                </c:pt>
                <c:pt idx="6">
                  <c:v>3468057.3125</c:v>
                </c:pt>
                <c:pt idx="7">
                  <c:v>3869515.6875</c:v>
                </c:pt>
                <c:pt idx="8">
                  <c:v>1065629.9609375</c:v>
                </c:pt>
                <c:pt idx="9">
                  <c:v>-27016170.958984375</c:v>
                </c:pt>
                <c:pt idx="10">
                  <c:v>1545890.296875</c:v>
                </c:pt>
                <c:pt idx="11">
                  <c:v>1452157.4296875</c:v>
                </c:pt>
                <c:pt idx="12">
                  <c:v>2384340.25</c:v>
                </c:pt>
                <c:pt idx="13">
                  <c:v>3400316.625</c:v>
                </c:pt>
                <c:pt idx="14">
                  <c:v>2335283.75</c:v>
                </c:pt>
                <c:pt idx="15">
                  <c:v>2370654.53125</c:v>
                </c:pt>
                <c:pt idx="16">
                  <c:v>17835046.375</c:v>
                </c:pt>
                <c:pt idx="17">
                  <c:v>18954916.875</c:v>
                </c:pt>
                <c:pt idx="18">
                  <c:v>24372138.25</c:v>
                </c:pt>
                <c:pt idx="19">
                  <c:v>26240486.625</c:v>
                </c:pt>
                <c:pt idx="20">
                  <c:v>14709063.5</c:v>
                </c:pt>
                <c:pt idx="21">
                  <c:v>13665416.125</c:v>
                </c:pt>
                <c:pt idx="22">
                  <c:v>14108887.625</c:v>
                </c:pt>
                <c:pt idx="23">
                  <c:v>17719238</c:v>
                </c:pt>
                <c:pt idx="24">
                  <c:v>2544266.921875</c:v>
                </c:pt>
                <c:pt idx="25">
                  <c:v>2848053.734375</c:v>
                </c:pt>
                <c:pt idx="26">
                  <c:v>2887532.375</c:v>
                </c:pt>
                <c:pt idx="27">
                  <c:v>3231855.4375</c:v>
                </c:pt>
                <c:pt idx="28">
                  <c:v>25336137</c:v>
                </c:pt>
                <c:pt idx="29">
                  <c:v>32343173.75</c:v>
                </c:pt>
                <c:pt idx="30">
                  <c:v>31817711.25</c:v>
                </c:pt>
                <c:pt idx="31">
                  <c:v>34860920</c:v>
                </c:pt>
                <c:pt idx="32">
                  <c:v>47454136.25</c:v>
                </c:pt>
                <c:pt idx="33">
                  <c:v>50066956.5</c:v>
                </c:pt>
                <c:pt idx="34">
                  <c:v>54043545</c:v>
                </c:pt>
                <c:pt idx="35">
                  <c:v>59323360.5</c:v>
                </c:pt>
                <c:pt idx="36">
                  <c:v>44628186.75</c:v>
                </c:pt>
                <c:pt idx="37">
                  <c:v>46381704.25</c:v>
                </c:pt>
                <c:pt idx="38">
                  <c:v>54527117</c:v>
                </c:pt>
                <c:pt idx="39">
                  <c:v>60491341.5</c:v>
                </c:pt>
                <c:pt idx="40">
                  <c:v>3106227.6875</c:v>
                </c:pt>
                <c:pt idx="41">
                  <c:v>3037446.828125</c:v>
                </c:pt>
                <c:pt idx="42">
                  <c:v>3487428.90625</c:v>
                </c:pt>
                <c:pt idx="43">
                  <c:v>3845419.5625</c:v>
                </c:pt>
                <c:pt idx="44">
                  <c:v>1432887.9921875</c:v>
                </c:pt>
                <c:pt idx="45">
                  <c:v>1568037.0234375</c:v>
                </c:pt>
                <c:pt idx="46">
                  <c:v>1480508.9140625</c:v>
                </c:pt>
                <c:pt idx="47">
                  <c:v>1581094.546875</c:v>
                </c:pt>
                <c:pt idx="48">
                  <c:v>4138877.5625</c:v>
                </c:pt>
                <c:pt idx="49">
                  <c:v>4853480.875</c:v>
                </c:pt>
                <c:pt idx="50">
                  <c:v>6029221.9375</c:v>
                </c:pt>
                <c:pt idx="51">
                  <c:v>6409011.3125</c:v>
                </c:pt>
              </c:numCache>
            </c:numRef>
          </c:val>
        </c:ser>
        <c:dLbls>
          <c:showLegendKey val="0"/>
          <c:showVal val="0"/>
          <c:showCatName val="0"/>
          <c:showSerName val="0"/>
          <c:showPercent val="0"/>
          <c:showBubbleSize val="0"/>
        </c:dLbls>
        <c:gapWidth val="500"/>
        <c:axId val="487869000"/>
        <c:axId val="487869392"/>
      </c:barChart>
      <c:lineChart>
        <c:grouping val="standard"/>
        <c:varyColors val="0"/>
        <c:ser>
          <c:idx val="0"/>
          <c:order val="0"/>
          <c:tx>
            <c:strRef>
              <c:f>'O3 Economic Pivot S40'!$B$7</c:f>
              <c:strCache>
                <c:ptCount val="1"/>
                <c:pt idx="0">
                  <c:v>Mean Economic Impact</c:v>
                </c:pt>
              </c:strCache>
            </c:strRef>
          </c:tx>
          <c:spPr>
            <a:ln w="28575" cap="rnd">
              <a:noFill/>
              <a:round/>
            </a:ln>
            <a:effectLst/>
          </c:spPr>
          <c:marker>
            <c:symbol val="circle"/>
            <c:size val="6"/>
            <c:spPr>
              <a:solidFill>
                <a:schemeClr val="tx1"/>
              </a:solidFill>
              <a:ln w="9525">
                <a:noFill/>
              </a:ln>
              <a:effectLst/>
            </c:spPr>
          </c:marker>
          <c:cat>
            <c:multiLvlStrRef>
              <c:f>'O3 Economic Pivot S40'!$A$8:$A$72</c:f>
              <c:multiLvlStrCache>
                <c:ptCount val="52"/>
                <c:lvl>
                  <c:pt idx="0">
                    <c:v>2013</c:v>
                  </c:pt>
                  <c:pt idx="1">
                    <c:v>2014</c:v>
                  </c:pt>
                  <c:pt idx="2">
                    <c:v>2015</c:v>
                  </c:pt>
                  <c:pt idx="3">
                    <c:v>2016</c:v>
                  </c:pt>
                  <c:pt idx="4">
                    <c:v>2013</c:v>
                  </c:pt>
                  <c:pt idx="5">
                    <c:v>2014</c:v>
                  </c:pt>
                  <c:pt idx="6">
                    <c:v>2015</c:v>
                  </c:pt>
                  <c:pt idx="7">
                    <c:v>2016</c:v>
                  </c:pt>
                  <c:pt idx="8">
                    <c:v>2013</c:v>
                  </c:pt>
                  <c:pt idx="9">
                    <c:v>2014</c:v>
                  </c:pt>
                  <c:pt idx="10">
                    <c:v>2015</c:v>
                  </c:pt>
                  <c:pt idx="11">
                    <c:v>2016</c:v>
                  </c:pt>
                  <c:pt idx="12">
                    <c:v>2013</c:v>
                  </c:pt>
                  <c:pt idx="13">
                    <c:v>2014</c:v>
                  </c:pt>
                  <c:pt idx="14">
                    <c:v>2015</c:v>
                  </c:pt>
                  <c:pt idx="15">
                    <c:v>2016</c:v>
                  </c:pt>
                  <c:pt idx="16">
                    <c:v>2013</c:v>
                  </c:pt>
                  <c:pt idx="17">
                    <c:v>2014</c:v>
                  </c:pt>
                  <c:pt idx="18">
                    <c:v>2015</c:v>
                  </c:pt>
                  <c:pt idx="19">
                    <c:v>2016</c:v>
                  </c:pt>
                  <c:pt idx="20">
                    <c:v>2013</c:v>
                  </c:pt>
                  <c:pt idx="21">
                    <c:v>2014</c:v>
                  </c:pt>
                  <c:pt idx="22">
                    <c:v>2015</c:v>
                  </c:pt>
                  <c:pt idx="23">
                    <c:v>2016</c:v>
                  </c:pt>
                  <c:pt idx="24">
                    <c:v>2013</c:v>
                  </c:pt>
                  <c:pt idx="25">
                    <c:v>2014</c:v>
                  </c:pt>
                  <c:pt idx="26">
                    <c:v>2015</c:v>
                  </c:pt>
                  <c:pt idx="27">
                    <c:v>2016</c:v>
                  </c:pt>
                  <c:pt idx="28">
                    <c:v>2013</c:v>
                  </c:pt>
                  <c:pt idx="29">
                    <c:v>2014</c:v>
                  </c:pt>
                  <c:pt idx="30">
                    <c:v>2015</c:v>
                  </c:pt>
                  <c:pt idx="31">
                    <c:v>2016</c:v>
                  </c:pt>
                  <c:pt idx="32">
                    <c:v>2013</c:v>
                  </c:pt>
                  <c:pt idx="33">
                    <c:v>2014</c:v>
                  </c:pt>
                  <c:pt idx="34">
                    <c:v>2015</c:v>
                  </c:pt>
                  <c:pt idx="35">
                    <c:v>2016</c:v>
                  </c:pt>
                  <c:pt idx="36">
                    <c:v>2013</c:v>
                  </c:pt>
                  <c:pt idx="37">
                    <c:v>2014</c:v>
                  </c:pt>
                  <c:pt idx="38">
                    <c:v>2015</c:v>
                  </c:pt>
                  <c:pt idx="39">
                    <c:v>2016</c:v>
                  </c:pt>
                  <c:pt idx="40">
                    <c:v>2013</c:v>
                  </c:pt>
                  <c:pt idx="41">
                    <c:v>2014</c:v>
                  </c:pt>
                  <c:pt idx="42">
                    <c:v>2015</c:v>
                  </c:pt>
                  <c:pt idx="43">
                    <c:v>2016</c:v>
                  </c:pt>
                  <c:pt idx="44">
                    <c:v>2013</c:v>
                  </c:pt>
                  <c:pt idx="45">
                    <c:v>2014</c:v>
                  </c:pt>
                  <c:pt idx="46">
                    <c:v>2015</c:v>
                  </c:pt>
                  <c:pt idx="47">
                    <c:v>2016</c:v>
                  </c:pt>
                  <c:pt idx="48">
                    <c:v>2013</c:v>
                  </c:pt>
                  <c:pt idx="49">
                    <c:v>2014</c:v>
                  </c:pt>
                  <c:pt idx="50">
                    <c:v>2015</c:v>
                  </c:pt>
                  <c:pt idx="51">
                    <c:v>2016</c:v>
                  </c:pt>
                </c:lvl>
                <c:lvl>
                  <c:pt idx="0">
                    <c:v>CT</c:v>
                  </c:pt>
                  <c:pt idx="4">
                    <c:v>DE</c:v>
                  </c:pt>
                  <c:pt idx="8">
                    <c:v>DC</c:v>
                  </c:pt>
                  <c:pt idx="12">
                    <c:v>ME</c:v>
                  </c:pt>
                  <c:pt idx="16">
                    <c:v>MD</c:v>
                  </c:pt>
                  <c:pt idx="20">
                    <c:v>MA</c:v>
                  </c:pt>
                  <c:pt idx="24">
                    <c:v>NH</c:v>
                  </c:pt>
                  <c:pt idx="28">
                    <c:v>NJ</c:v>
                  </c:pt>
                  <c:pt idx="32">
                    <c:v>NY</c:v>
                  </c:pt>
                  <c:pt idx="36">
                    <c:v>PA</c:v>
                  </c:pt>
                  <c:pt idx="40">
                    <c:v>RI</c:v>
                  </c:pt>
                  <c:pt idx="44">
                    <c:v>VT</c:v>
                  </c:pt>
                  <c:pt idx="48">
                    <c:v>VA-OTR</c:v>
                  </c:pt>
                </c:lvl>
              </c:multiLvlStrCache>
            </c:multiLvlStrRef>
          </c:cat>
          <c:val>
            <c:numRef>
              <c:f>'O3 Economic Pivot S40'!$B$8:$B$72</c:f>
              <c:numCache>
                <c:formatCode>"$"#,##0</c:formatCode>
                <c:ptCount val="52"/>
                <c:pt idx="0">
                  <c:v>763093383.25</c:v>
                </c:pt>
                <c:pt idx="1">
                  <c:v>836360169.875</c:v>
                </c:pt>
                <c:pt idx="2">
                  <c:v>828507907.5</c:v>
                </c:pt>
                <c:pt idx="3">
                  <c:v>943164126.875</c:v>
                </c:pt>
                <c:pt idx="4">
                  <c:v>163872625.09375</c:v>
                </c:pt>
                <c:pt idx="5">
                  <c:v>205185393.46875</c:v>
                </c:pt>
                <c:pt idx="6">
                  <c:v>220938449.875</c:v>
                </c:pt>
                <c:pt idx="7">
                  <c:v>250080686.96875</c:v>
                </c:pt>
                <c:pt idx="8">
                  <c:v>74602680.1328125</c:v>
                </c:pt>
                <c:pt idx="9">
                  <c:v>-13502342.55859375</c:v>
                </c:pt>
                <c:pt idx="10">
                  <c:v>103976542.421875</c:v>
                </c:pt>
                <c:pt idx="11">
                  <c:v>99682867.71875</c:v>
                </c:pt>
                <c:pt idx="12">
                  <c:v>164474951.5625</c:v>
                </c:pt>
                <c:pt idx="13">
                  <c:v>224209625.1875</c:v>
                </c:pt>
                <c:pt idx="14">
                  <c:v>161508560.03125</c:v>
                </c:pt>
                <c:pt idx="15">
                  <c:v>166564682.09375</c:v>
                </c:pt>
                <c:pt idx="16">
                  <c:v>1165082196</c:v>
                </c:pt>
                <c:pt idx="17">
                  <c:v>1254556003.75</c:v>
                </c:pt>
                <c:pt idx="18">
                  <c:v>1547391018.25</c:v>
                </c:pt>
                <c:pt idx="19">
                  <c:v>1694056087</c:v>
                </c:pt>
                <c:pt idx="20">
                  <c:v>964234629.5</c:v>
                </c:pt>
                <c:pt idx="21">
                  <c:v>886411774.5</c:v>
                </c:pt>
                <c:pt idx="22">
                  <c:v>933624699</c:v>
                </c:pt>
                <c:pt idx="23">
                  <c:v>1179413228.75</c:v>
                </c:pt>
                <c:pt idx="24">
                  <c:v>172517732.375</c:v>
                </c:pt>
                <c:pt idx="25">
                  <c:v>188773645.625</c:v>
                </c:pt>
                <c:pt idx="26">
                  <c:v>195907647.34375</c:v>
                </c:pt>
                <c:pt idx="27">
                  <c:v>220672472.15625</c:v>
                </c:pt>
                <c:pt idx="28">
                  <c:v>1642048325.75</c:v>
                </c:pt>
                <c:pt idx="29">
                  <c:v>2108035050</c:v>
                </c:pt>
                <c:pt idx="30">
                  <c:v>2020974769.5</c:v>
                </c:pt>
                <c:pt idx="31">
                  <c:v>2253490492.5</c:v>
                </c:pt>
                <c:pt idx="32">
                  <c:v>3101590297.5</c:v>
                </c:pt>
                <c:pt idx="33">
                  <c:v>3307746946.5</c:v>
                </c:pt>
                <c:pt idx="34">
                  <c:v>3502518330.5</c:v>
                </c:pt>
                <c:pt idx="35">
                  <c:v>3923616467</c:v>
                </c:pt>
                <c:pt idx="36">
                  <c:v>2932797883.5</c:v>
                </c:pt>
                <c:pt idx="37">
                  <c:v>3026277588.5</c:v>
                </c:pt>
                <c:pt idx="38">
                  <c:v>3525419804.5</c:v>
                </c:pt>
                <c:pt idx="39">
                  <c:v>3968798245</c:v>
                </c:pt>
                <c:pt idx="40">
                  <c:v>202960544.75</c:v>
                </c:pt>
                <c:pt idx="41">
                  <c:v>204666352.875</c:v>
                </c:pt>
                <c:pt idx="42">
                  <c:v>226947149.8125</c:v>
                </c:pt>
                <c:pt idx="43">
                  <c:v>253367398.09375</c:v>
                </c:pt>
                <c:pt idx="44">
                  <c:v>99220129.875</c:v>
                </c:pt>
                <c:pt idx="45">
                  <c:v>105715505.546875</c:v>
                </c:pt>
                <c:pt idx="46">
                  <c:v>102946145.609375</c:v>
                </c:pt>
                <c:pt idx="47">
                  <c:v>110499708.046875</c:v>
                </c:pt>
                <c:pt idx="48">
                  <c:v>269397110.625</c:v>
                </c:pt>
                <c:pt idx="49">
                  <c:v>329029364.625</c:v>
                </c:pt>
                <c:pt idx="50">
                  <c:v>381630391.75</c:v>
                </c:pt>
                <c:pt idx="51">
                  <c:v>415995996.75</c:v>
                </c:pt>
              </c:numCache>
            </c:numRef>
          </c:val>
          <c:smooth val="0"/>
        </c:ser>
        <c:dLbls>
          <c:showLegendKey val="0"/>
          <c:showVal val="0"/>
          <c:showCatName val="0"/>
          <c:showSerName val="0"/>
          <c:showPercent val="0"/>
          <c:showBubbleSize val="0"/>
        </c:dLbls>
        <c:marker val="1"/>
        <c:smooth val="0"/>
        <c:axId val="487869000"/>
        <c:axId val="487869392"/>
      </c:lineChart>
      <c:catAx>
        <c:axId val="487869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87869392"/>
        <c:crosses val="autoZero"/>
        <c:auto val="1"/>
        <c:lblAlgn val="ctr"/>
        <c:lblOffset val="100"/>
        <c:noMultiLvlLbl val="0"/>
      </c:catAx>
      <c:valAx>
        <c:axId val="48786939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87869000"/>
        <c:crosses val="autoZero"/>
        <c:crossBetween val="between"/>
        <c:dispUnits>
          <c:builtInUnit val="billions"/>
          <c:dispUnitsLbl>
            <c:layout/>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t"/>
      <c:layout>
        <c:manualLayout>
          <c:xMode val="edge"/>
          <c:yMode val="edge"/>
          <c:x val="7.7085245032495239E-2"/>
          <c:y val="0.16168914297739509"/>
          <c:w val="0.45140049801467125"/>
          <c:h val="0.1525093454227312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C5FCB46-E8DA-4384-9541-C02D29BFA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3286</Words>
  <Characters>18732</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Analysis of the Potential Health Impacts of Reducing Ozone Levels in the OTR Using BenMAP</vt:lpstr>
    </vt:vector>
  </TitlesOfParts>
  <Company>Hewlett-Packard Company</Company>
  <LinksUpToDate>false</LinksUpToDate>
  <CharactersWithSpaces>21975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Analysis of the Potential Health Impacts of Reducing Ozone Levels in the OTR Using BenMAP</dc:title>
  <dc:subject/>
  <dc:creator>Ozone Transport Commission</dc:creator>
  <cp:keywords/>
  <dc:description/>
  <cp:lastModifiedBy>Joseph Jakuta</cp:lastModifiedBy>
  <cp:revision>3</cp:revision>
  <cp:lastPrinted>2012-08-28T20:03:00Z</cp:lastPrinted>
  <dcterms:created xsi:type="dcterms:W3CDTF">2017-09-05T19:36:00Z</dcterms:created>
  <dcterms:modified xsi:type="dcterms:W3CDTF">2017-09-05T19:36:00Z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zotero-version="4.0.29.12m98"&gt;&lt;session id="432RsKWb"/&gt;&lt;style id="http://www.zotero.org/styles/chicago-note-bibliography" locale="en-US" hasBibliography="1" bibliographyStyleHasBeenSet="1"/&gt;&lt;prefs&gt;&lt;pref name="citationTransliteration"</vt:lpwstr>
  </property>
  <property fmtid="{D5CDD505-2E9C-101B-9397-08002B2CF9AE}" pid="3" name="ZOTERO_PREF_2">
    <vt:lpwstr> value=""/&gt;&lt;pref name="citationTranslation" value=""/&gt;&lt;pref name="citationSort" value=""/&gt;&lt;pref name="citationLangPrefsPersons" value="orig"/&gt;&lt;pref name="citationLangPrefsInstitutions" value="orig"/&gt;&lt;pref name="citationLangPrefsTitles" value="orig"/&gt;&lt;pref</vt:lpwstr>
  </property>
  <property fmtid="{D5CDD505-2E9C-101B-9397-08002B2CF9AE}" pid="4" name="ZOTERO_PREF_3">
    <vt:lpwstr> name="citationLangPrefsJournals" value="orig"/&gt;&lt;pref name="citationLangPrefsPublishers" value="orig"/&gt;&lt;pref name="citationLangPrefsPlaces" value="orig"/&gt;&lt;pref name="citationAffixes" value="|||||||||||||||||||||||||||||||||||||||||||||||"/&gt;&lt;pref name="pro</vt:lpwstr>
  </property>
  <property fmtid="{D5CDD505-2E9C-101B-9397-08002B2CF9AE}" pid="5" name="ZOTERO_PREF_4">
    <vt:lpwstr>jectName" value=""/&gt;&lt;pref name="extractingLibraryID" value="0"/&gt;&lt;pref name="extractingLibraryName" value="No group selected"/&gt;&lt;pref name="fieldType" value="Field"/&gt;&lt;pref name="storeReferences" value="true"/&gt;&lt;pref name="automaticJournalAbbreviations" value</vt:lpwstr>
  </property>
  <property fmtid="{D5CDD505-2E9C-101B-9397-08002B2CF9AE}" pid="6" name="ZOTERO_PREF_5">
    <vt:lpwstr>="true"/&gt;&lt;pref name="noteType" value="1"/&gt;&lt;pref name="suppressTrailingPunctuation" value=""/&gt;&lt;/prefs&gt;&lt;/data&gt;</vt:lpwstr>
  </property>
</Properties>
</file>